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C50F" w14:textId="27E9639C" w:rsidR="003E320A" w:rsidRPr="003E320A" w:rsidRDefault="003E320A" w:rsidP="003E320A">
      <w:pPr>
        <w:pStyle w:val="papertitle"/>
        <w:rPr>
          <w:rFonts w:ascii="Arial" w:hAnsi="Arial" w:cs="Arial"/>
          <w:lang w:val="en-DE"/>
        </w:rPr>
      </w:pPr>
      <w:r w:rsidRPr="003E320A">
        <w:rPr>
          <w:rFonts w:ascii="Arial" w:hAnsi="Arial" w:cs="Arial"/>
          <w:lang w:val="en-US"/>
        </w:rPr>
        <w:t xml:space="preserve">From </w:t>
      </w:r>
      <w:r>
        <w:rPr>
          <w:rFonts w:ascii="Arial" w:hAnsi="Arial" w:cs="Arial"/>
          <w:lang w:val="en-US"/>
        </w:rPr>
        <w:t>G</w:t>
      </w:r>
      <w:r w:rsidRPr="003E320A">
        <w:rPr>
          <w:rFonts w:ascii="Arial" w:hAnsi="Arial" w:cs="Arial"/>
          <w:lang w:val="en-US"/>
        </w:rPr>
        <w:t xml:space="preserve">as-phase to </w:t>
      </w:r>
      <w:r>
        <w:rPr>
          <w:rFonts w:ascii="Arial" w:hAnsi="Arial" w:cs="Arial"/>
          <w:lang w:val="en-US"/>
        </w:rPr>
        <w:t>L</w:t>
      </w:r>
      <w:r w:rsidRPr="003E320A">
        <w:rPr>
          <w:rFonts w:ascii="Arial" w:hAnsi="Arial" w:cs="Arial"/>
          <w:lang w:val="en-US"/>
        </w:rPr>
        <w:t xml:space="preserve">iquid </w:t>
      </w:r>
      <w:r>
        <w:rPr>
          <w:rFonts w:ascii="Arial" w:hAnsi="Arial" w:cs="Arial"/>
          <w:lang w:val="en-US"/>
        </w:rPr>
        <w:t>P</w:t>
      </w:r>
      <w:r w:rsidRPr="003E320A">
        <w:rPr>
          <w:rFonts w:ascii="Arial" w:hAnsi="Arial" w:cs="Arial"/>
          <w:lang w:val="en-US"/>
        </w:rPr>
        <w:t xml:space="preserve">hase: </w:t>
      </w:r>
      <w:r>
        <w:rPr>
          <w:rFonts w:ascii="Arial" w:hAnsi="Arial" w:cs="Arial"/>
          <w:lang w:val="en-US"/>
        </w:rPr>
        <w:t>P</w:t>
      </w:r>
      <w:r w:rsidRPr="003E320A">
        <w:rPr>
          <w:rFonts w:ascii="Arial" w:hAnsi="Arial" w:cs="Arial"/>
          <w:lang w:val="en-US"/>
        </w:rPr>
        <w:t xml:space="preserve">robing the </w:t>
      </w:r>
      <w:r>
        <w:rPr>
          <w:rFonts w:ascii="Arial" w:hAnsi="Arial" w:cs="Arial"/>
          <w:lang w:val="en-US"/>
        </w:rPr>
        <w:t>E</w:t>
      </w:r>
      <w:r w:rsidRPr="003E320A">
        <w:rPr>
          <w:rFonts w:ascii="Arial" w:hAnsi="Arial" w:cs="Arial"/>
          <w:lang w:val="en-US"/>
        </w:rPr>
        <w:t xml:space="preserve">lectronic </w:t>
      </w:r>
      <w:r>
        <w:rPr>
          <w:rFonts w:ascii="Arial" w:hAnsi="Arial" w:cs="Arial"/>
          <w:lang w:val="en-US"/>
        </w:rPr>
        <w:t>S</w:t>
      </w:r>
      <w:r w:rsidRPr="003E320A">
        <w:rPr>
          <w:rFonts w:ascii="Arial" w:hAnsi="Arial" w:cs="Arial"/>
          <w:lang w:val="en-US"/>
        </w:rPr>
        <w:t xml:space="preserve">tructure of </w:t>
      </w:r>
      <w:r>
        <w:rPr>
          <w:rFonts w:ascii="Arial" w:hAnsi="Arial" w:cs="Arial"/>
          <w:lang w:val="en-US"/>
        </w:rPr>
        <w:t>A</w:t>
      </w:r>
      <w:r w:rsidRPr="003E320A">
        <w:rPr>
          <w:rFonts w:ascii="Arial" w:hAnsi="Arial" w:cs="Arial"/>
          <w:lang w:val="en-US"/>
        </w:rPr>
        <w:t xml:space="preserve">mino </w:t>
      </w:r>
      <w:r>
        <w:rPr>
          <w:rFonts w:ascii="Arial" w:hAnsi="Arial" w:cs="Arial"/>
          <w:lang w:val="en-US"/>
        </w:rPr>
        <w:t>A</w:t>
      </w:r>
      <w:r w:rsidRPr="003E320A">
        <w:rPr>
          <w:rFonts w:ascii="Arial" w:hAnsi="Arial" w:cs="Arial"/>
          <w:lang w:val="en-US"/>
        </w:rPr>
        <w:t xml:space="preserve">cids with X-ray </w:t>
      </w:r>
      <w:r>
        <w:rPr>
          <w:rFonts w:ascii="Arial" w:hAnsi="Arial" w:cs="Arial"/>
          <w:lang w:val="en-US"/>
        </w:rPr>
        <w:t>S</w:t>
      </w:r>
      <w:r w:rsidRPr="003E320A">
        <w:rPr>
          <w:rFonts w:ascii="Arial" w:hAnsi="Arial" w:cs="Arial"/>
          <w:lang w:val="en-US"/>
        </w:rPr>
        <w:t>pectroscopy.</w:t>
      </w:r>
    </w:p>
    <w:p w14:paraId="34CC9AEF" w14:textId="6D9F4220" w:rsidR="005166FE" w:rsidRPr="003E320A" w:rsidRDefault="003E320A" w:rsidP="003E320A">
      <w:pPr>
        <w:pStyle w:val="paperauthor"/>
        <w:jc w:val="left"/>
        <w:rPr>
          <w:rFonts w:ascii="Arial" w:hAnsi="Arial" w:cs="Arial"/>
          <w:vertAlign w:val="superscript"/>
          <w:lang w:val="en-DE"/>
        </w:rPr>
      </w:pPr>
      <w:r w:rsidRPr="003E320A">
        <w:rPr>
          <w:rFonts w:ascii="Arial" w:hAnsi="Arial" w:cs="Arial"/>
          <w:lang w:val="en-DE"/>
        </w:rPr>
        <w:t>Juliette Leroux</w:t>
      </w:r>
      <w:r>
        <w:rPr>
          <w:rFonts w:ascii="Arial" w:hAnsi="Arial" w:cs="Arial"/>
          <w:vertAlign w:val="superscript"/>
          <w:lang w:val="en-DE"/>
        </w:rPr>
        <w:t>1</w:t>
      </w:r>
      <w:r w:rsidRPr="003E320A">
        <w:rPr>
          <w:rFonts w:ascii="Arial" w:hAnsi="Arial" w:cs="Arial"/>
          <w:lang w:val="en-DE"/>
        </w:rPr>
        <w:t>, Nicolas Velasquez</w:t>
      </w:r>
      <w:r>
        <w:rPr>
          <w:rFonts w:ascii="Arial" w:hAnsi="Arial" w:cs="Arial"/>
          <w:vertAlign w:val="superscript"/>
          <w:lang w:val="en-DE"/>
        </w:rPr>
        <w:t>2</w:t>
      </w:r>
      <w:r w:rsidRPr="003E320A">
        <w:rPr>
          <w:rFonts w:ascii="Arial" w:hAnsi="Arial" w:cs="Arial"/>
          <w:lang w:val="en-DE"/>
        </w:rPr>
        <w:t>, Florian Trinter</w:t>
      </w:r>
      <w:r>
        <w:rPr>
          <w:rFonts w:ascii="Arial" w:hAnsi="Arial" w:cs="Arial"/>
          <w:vertAlign w:val="superscript"/>
          <w:lang w:val="en-DE"/>
        </w:rPr>
        <w:t>2</w:t>
      </w:r>
      <w:r w:rsidRPr="003E320A">
        <w:rPr>
          <w:rFonts w:ascii="Arial" w:hAnsi="Arial" w:cs="Arial"/>
          <w:lang w:val="en-DE"/>
        </w:rPr>
        <w:t>, Markus Ilchen</w:t>
      </w:r>
      <w:r>
        <w:rPr>
          <w:rFonts w:ascii="Arial" w:hAnsi="Arial" w:cs="Arial"/>
          <w:vertAlign w:val="superscript"/>
          <w:lang w:val="en-DE"/>
        </w:rPr>
        <w:t>1</w:t>
      </w:r>
      <w:r w:rsidRPr="003E320A">
        <w:rPr>
          <w:rFonts w:ascii="Arial" w:hAnsi="Arial" w:cs="Arial"/>
          <w:lang w:val="en-DE"/>
        </w:rPr>
        <w:t>, Laura Pille</w:t>
      </w:r>
      <w:r>
        <w:rPr>
          <w:rFonts w:ascii="Arial" w:hAnsi="Arial" w:cs="Arial"/>
          <w:vertAlign w:val="superscript"/>
          <w:lang w:val="en-DE"/>
        </w:rPr>
        <w:t>3</w:t>
      </w:r>
      <w:r w:rsidRPr="003E320A">
        <w:rPr>
          <w:rFonts w:ascii="Arial" w:hAnsi="Arial" w:cs="Arial"/>
          <w:lang w:val="en-DE"/>
        </w:rPr>
        <w:t>, Lucas Schwob</w:t>
      </w:r>
      <w:r>
        <w:rPr>
          <w:rFonts w:ascii="Arial" w:hAnsi="Arial" w:cs="Arial"/>
          <w:vertAlign w:val="superscript"/>
          <w:lang w:val="en-DE"/>
        </w:rPr>
        <w:t>3</w:t>
      </w:r>
      <w:r w:rsidRPr="003E320A">
        <w:rPr>
          <w:rFonts w:ascii="Arial" w:hAnsi="Arial" w:cs="Arial"/>
          <w:lang w:val="en-DE"/>
        </w:rPr>
        <w:t>, Aarathi Nair</w:t>
      </w:r>
      <w:r>
        <w:rPr>
          <w:rFonts w:ascii="Arial" w:hAnsi="Arial" w:cs="Arial"/>
          <w:vertAlign w:val="superscript"/>
          <w:lang w:val="en-DE"/>
        </w:rPr>
        <w:t>1</w:t>
      </w:r>
      <w:r w:rsidRPr="003E320A">
        <w:rPr>
          <w:rFonts w:ascii="Arial" w:hAnsi="Arial" w:cs="Arial"/>
          <w:lang w:val="en-DE"/>
        </w:rPr>
        <w:t>, Jean-Yves Chesnel</w:t>
      </w:r>
      <w:r>
        <w:rPr>
          <w:rFonts w:ascii="Arial" w:hAnsi="Arial" w:cs="Arial"/>
          <w:vertAlign w:val="superscript"/>
          <w:lang w:val="en-DE"/>
        </w:rPr>
        <w:t>4</w:t>
      </w:r>
      <w:r w:rsidRPr="003E320A">
        <w:rPr>
          <w:rFonts w:ascii="Arial" w:hAnsi="Arial" w:cs="Arial"/>
          <w:lang w:val="en-DE"/>
        </w:rPr>
        <w:t xml:space="preserve"> and Sadia </w:t>
      </w:r>
      <w:r>
        <w:rPr>
          <w:rFonts w:ascii="Arial" w:hAnsi="Arial" w:cs="Arial"/>
          <w:lang w:val="en-DE"/>
        </w:rPr>
        <w:t>Bari</w:t>
      </w:r>
      <w:r>
        <w:rPr>
          <w:rFonts w:ascii="Arial" w:hAnsi="Arial" w:cs="Arial"/>
          <w:vertAlign w:val="superscript"/>
          <w:lang w:val="en-DE"/>
        </w:rPr>
        <w:t>3</w:t>
      </w:r>
    </w:p>
    <w:p w14:paraId="0B639B8B" w14:textId="2E9B55C0" w:rsidR="003E320A" w:rsidRDefault="003E320A" w:rsidP="003E320A">
      <w:pPr>
        <w:pStyle w:val="Heading1"/>
        <w:spacing w:before="0" w:after="0"/>
        <w:rPr>
          <w:rFonts w:ascii="Arial" w:hAnsi="Arial" w:cs="Arial"/>
          <w:b w:val="0"/>
          <w:bCs w:val="0"/>
          <w:i/>
          <w:iCs/>
          <w:caps w:val="0"/>
          <w:kern w:val="0"/>
          <w:sz w:val="20"/>
          <w:szCs w:val="20"/>
          <w:lang w:val="en-US"/>
        </w:rPr>
      </w:pPr>
      <w:r>
        <w:rPr>
          <w:rFonts w:ascii="Arial" w:hAnsi="Arial" w:cs="Arial"/>
          <w:b w:val="0"/>
          <w:bCs w:val="0"/>
          <w:i/>
          <w:iCs/>
          <w:caps w:val="0"/>
          <w:kern w:val="0"/>
          <w:sz w:val="20"/>
          <w:szCs w:val="20"/>
          <w:vertAlign w:val="superscript"/>
          <w:lang w:val="en-US"/>
        </w:rPr>
        <w:t>1</w:t>
      </w:r>
      <w:r w:rsidRPr="003E320A">
        <w:rPr>
          <w:lang w:val="en-US"/>
        </w:rPr>
        <w:t xml:space="preserve"> </w:t>
      </w:r>
      <w:r w:rsidRPr="003E320A">
        <w:rPr>
          <w:rFonts w:ascii="Arial" w:hAnsi="Arial" w:cs="Arial"/>
          <w:b w:val="0"/>
          <w:bCs w:val="0"/>
          <w:i/>
          <w:iCs/>
          <w:caps w:val="0"/>
          <w:kern w:val="0"/>
          <w:sz w:val="20"/>
          <w:szCs w:val="20"/>
          <w:lang w:val="en-US"/>
        </w:rPr>
        <w:t>Department of Physics, Universität Hamburg, 22607, Hamburg, Germany</w:t>
      </w:r>
    </w:p>
    <w:p w14:paraId="159FE74F" w14:textId="5EB39FBF" w:rsidR="003E320A" w:rsidRDefault="003E320A" w:rsidP="003E320A">
      <w:pPr>
        <w:pStyle w:val="Heading1"/>
        <w:spacing w:before="0" w:after="0"/>
        <w:rPr>
          <w:rFonts w:ascii="Arial" w:hAnsi="Arial" w:cs="Arial"/>
          <w:b w:val="0"/>
          <w:bCs w:val="0"/>
          <w:i/>
          <w:iCs/>
          <w:caps w:val="0"/>
          <w:kern w:val="0"/>
          <w:sz w:val="20"/>
          <w:szCs w:val="20"/>
          <w:lang w:val="de-DE"/>
        </w:rPr>
      </w:pPr>
      <w:r>
        <w:rPr>
          <w:rFonts w:ascii="Arial" w:hAnsi="Arial" w:cs="Arial"/>
          <w:b w:val="0"/>
          <w:bCs w:val="0"/>
          <w:i/>
          <w:iCs/>
          <w:caps w:val="0"/>
          <w:kern w:val="0"/>
          <w:sz w:val="20"/>
          <w:szCs w:val="20"/>
          <w:vertAlign w:val="superscript"/>
          <w:lang w:val="de-DE"/>
        </w:rPr>
        <w:t xml:space="preserve">2 </w:t>
      </w:r>
      <w:r w:rsidRPr="003E320A">
        <w:rPr>
          <w:rFonts w:ascii="Arial" w:hAnsi="Arial" w:cs="Arial"/>
          <w:b w:val="0"/>
          <w:bCs w:val="0"/>
          <w:i/>
          <w:iCs/>
          <w:caps w:val="0"/>
          <w:kern w:val="0"/>
          <w:sz w:val="20"/>
          <w:szCs w:val="20"/>
          <w:lang w:val="de-DE"/>
        </w:rPr>
        <w:t xml:space="preserve">Fritz-Haber-Institut der Max-Planck-Gesellschaft, </w:t>
      </w:r>
      <w:proofErr w:type="spellStart"/>
      <w:r w:rsidRPr="003E320A">
        <w:rPr>
          <w:rFonts w:ascii="Arial" w:hAnsi="Arial" w:cs="Arial"/>
          <w:b w:val="0"/>
          <w:bCs w:val="0"/>
          <w:i/>
          <w:iCs/>
          <w:caps w:val="0"/>
          <w:kern w:val="0"/>
          <w:sz w:val="20"/>
          <w:szCs w:val="20"/>
          <w:lang w:val="de-DE"/>
        </w:rPr>
        <w:t>Faradayweg</w:t>
      </w:r>
      <w:proofErr w:type="spellEnd"/>
      <w:r w:rsidRPr="003E320A">
        <w:rPr>
          <w:rFonts w:ascii="Arial" w:hAnsi="Arial" w:cs="Arial"/>
          <w:b w:val="0"/>
          <w:bCs w:val="0"/>
          <w:i/>
          <w:iCs/>
          <w:caps w:val="0"/>
          <w:kern w:val="0"/>
          <w:sz w:val="20"/>
          <w:szCs w:val="20"/>
          <w:lang w:val="de-DE"/>
        </w:rPr>
        <w:t xml:space="preserve"> 4-6 14195, Berlin, Germany</w:t>
      </w:r>
    </w:p>
    <w:p w14:paraId="55806D6C" w14:textId="52B41A61" w:rsidR="003E320A" w:rsidRDefault="003E320A" w:rsidP="003E320A">
      <w:pPr>
        <w:pStyle w:val="Heading1"/>
        <w:spacing w:before="0" w:after="0"/>
        <w:rPr>
          <w:rFonts w:ascii="Arial" w:hAnsi="Arial" w:cs="Arial"/>
          <w:b w:val="0"/>
          <w:bCs w:val="0"/>
          <w:i/>
          <w:iCs/>
          <w:caps w:val="0"/>
          <w:kern w:val="0"/>
          <w:sz w:val="20"/>
          <w:szCs w:val="20"/>
          <w:lang w:val="de-DE"/>
        </w:rPr>
      </w:pPr>
      <w:r w:rsidRPr="003E320A">
        <w:rPr>
          <w:rFonts w:ascii="Arial" w:hAnsi="Arial" w:cs="Arial"/>
          <w:b w:val="0"/>
          <w:bCs w:val="0"/>
          <w:i/>
          <w:iCs/>
          <w:caps w:val="0"/>
          <w:kern w:val="0"/>
          <w:sz w:val="20"/>
          <w:szCs w:val="20"/>
          <w:vertAlign w:val="superscript"/>
          <w:lang w:val="de-DE"/>
        </w:rPr>
        <w:t>3</w:t>
      </w:r>
      <w:r>
        <w:rPr>
          <w:rFonts w:ascii="Arial" w:hAnsi="Arial" w:cs="Arial"/>
          <w:b w:val="0"/>
          <w:bCs w:val="0"/>
          <w:i/>
          <w:iCs/>
          <w:caps w:val="0"/>
          <w:kern w:val="0"/>
          <w:sz w:val="20"/>
          <w:szCs w:val="20"/>
          <w:lang w:val="de-DE"/>
        </w:rPr>
        <w:t xml:space="preserve"> Deutsches Elektronen-Synchrotron DESY, </w:t>
      </w:r>
      <w:r w:rsidRPr="003E320A">
        <w:rPr>
          <w:rFonts w:ascii="Calibri" w:hAnsi="Calibri" w:cs="Calibri"/>
          <w:b w:val="0"/>
          <w:bCs w:val="0"/>
          <w:i/>
          <w:iCs/>
          <w:caps w:val="0"/>
          <w:kern w:val="0"/>
          <w:sz w:val="20"/>
          <w:szCs w:val="20"/>
          <w:lang w:val="de-DE"/>
        </w:rPr>
        <w:t>﻿</w:t>
      </w:r>
      <w:r w:rsidRPr="003E320A">
        <w:rPr>
          <w:rFonts w:ascii="Arial" w:hAnsi="Arial" w:cs="Arial"/>
          <w:b w:val="0"/>
          <w:bCs w:val="0"/>
          <w:i/>
          <w:iCs/>
          <w:caps w:val="0"/>
          <w:kern w:val="0"/>
          <w:sz w:val="20"/>
          <w:szCs w:val="20"/>
          <w:lang w:val="de-DE"/>
        </w:rPr>
        <w:t>22603 Hamburg, Germany</w:t>
      </w:r>
    </w:p>
    <w:p w14:paraId="58F6F849" w14:textId="3A14F30A" w:rsidR="003E320A" w:rsidRPr="003E320A" w:rsidRDefault="003E320A" w:rsidP="0029025B">
      <w:pPr>
        <w:pStyle w:val="Heading1"/>
        <w:spacing w:before="0" w:after="0"/>
        <w:rPr>
          <w:rFonts w:ascii="Arial" w:hAnsi="Arial" w:cs="Arial"/>
          <w:b w:val="0"/>
          <w:bCs w:val="0"/>
          <w:i/>
          <w:iCs/>
          <w:caps w:val="0"/>
          <w:kern w:val="0"/>
          <w:sz w:val="20"/>
          <w:szCs w:val="20"/>
        </w:rPr>
      </w:pPr>
      <w:r w:rsidRPr="003E320A">
        <w:rPr>
          <w:rFonts w:ascii="Arial" w:hAnsi="Arial" w:cs="Arial"/>
          <w:b w:val="0"/>
          <w:bCs w:val="0"/>
          <w:i/>
          <w:iCs/>
          <w:caps w:val="0"/>
          <w:kern w:val="0"/>
          <w:sz w:val="20"/>
          <w:szCs w:val="20"/>
          <w:vertAlign w:val="superscript"/>
        </w:rPr>
        <w:t>4</w:t>
      </w:r>
      <w:r w:rsidRPr="003E320A">
        <w:rPr>
          <w:rFonts w:ascii="Arial" w:hAnsi="Arial" w:cs="Arial"/>
          <w:b w:val="0"/>
          <w:bCs w:val="0"/>
          <w:i/>
          <w:iCs/>
          <w:caps w:val="0"/>
          <w:kern w:val="0"/>
          <w:sz w:val="20"/>
          <w:szCs w:val="20"/>
        </w:rPr>
        <w:t xml:space="preserve"> </w:t>
      </w:r>
      <w:r w:rsidRPr="003E320A">
        <w:rPr>
          <w:rFonts w:ascii="Calibri" w:hAnsi="Calibri" w:cs="Calibri"/>
          <w:b w:val="0"/>
          <w:bCs w:val="0"/>
          <w:i/>
          <w:iCs/>
          <w:caps w:val="0"/>
          <w:kern w:val="0"/>
          <w:sz w:val="20"/>
          <w:szCs w:val="20"/>
          <w:lang w:val="de-DE"/>
        </w:rPr>
        <w:t>﻿</w:t>
      </w:r>
      <w:r w:rsidRPr="003E320A">
        <w:rPr>
          <w:rFonts w:ascii="Arial" w:hAnsi="Arial" w:cs="Arial"/>
          <w:b w:val="0"/>
          <w:bCs w:val="0"/>
          <w:i/>
          <w:iCs/>
          <w:caps w:val="0"/>
          <w:kern w:val="0"/>
          <w:sz w:val="20"/>
          <w:szCs w:val="20"/>
        </w:rPr>
        <w:t>CIMAP, CEA/CNRS/ENSICAEN/Université de Caen Normandie, 14050 Caen, France</w:t>
      </w:r>
    </w:p>
    <w:p w14:paraId="7447D1C4" w14:textId="77777777" w:rsidR="003E320A" w:rsidRPr="003E320A" w:rsidRDefault="003E320A" w:rsidP="003E320A">
      <w:pPr>
        <w:pStyle w:val="Heading1"/>
        <w:spacing w:before="0" w:after="0"/>
        <w:rPr>
          <w:rFonts w:ascii="Arial" w:hAnsi="Arial" w:cs="Arial"/>
          <w:b w:val="0"/>
          <w:bCs w:val="0"/>
          <w:i/>
          <w:iCs/>
          <w:caps w:val="0"/>
          <w:kern w:val="0"/>
          <w:sz w:val="20"/>
          <w:szCs w:val="20"/>
        </w:rPr>
      </w:pPr>
    </w:p>
    <w:p w14:paraId="4C03668E" w14:textId="6C3F877F"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ABSTRACT</w:t>
      </w:r>
    </w:p>
    <w:p w14:paraId="28CA2AF4" w14:textId="132A2D85" w:rsidR="003E320A" w:rsidRPr="003E320A" w:rsidRDefault="003E320A" w:rsidP="003E320A">
      <w:pPr>
        <w:pStyle w:val="paragraph"/>
        <w:rPr>
          <w:rFonts w:ascii="Arial" w:hAnsi="Arial" w:cs="Arial"/>
          <w:sz w:val="22"/>
          <w:szCs w:val="22"/>
          <w:lang w:val="en-US"/>
        </w:rPr>
      </w:pPr>
      <w:r w:rsidRPr="003E320A">
        <w:rPr>
          <w:rFonts w:ascii="Arial" w:hAnsi="Arial" w:cs="Arial"/>
          <w:sz w:val="22"/>
          <w:szCs w:val="22"/>
          <w:lang w:val="en-US"/>
        </w:rPr>
        <w:t>The isolation of biomolecules in the gas phase eliminates all interactions with the solvent, allowing for stepwise control of these interactions by progressively increasing the number of bound water molecules, thereby bridging the gap between isolated molecules and aqueous conditions. A single water molecule can already induce significant structural changes in the molecule, such as the location of the protonation site</w:t>
      </w:r>
      <w:r w:rsidR="00E3563B">
        <w:rPr>
          <w:rFonts w:ascii="Arial" w:hAnsi="Arial" w:cs="Arial"/>
          <w:sz w:val="22"/>
          <w:szCs w:val="22"/>
          <w:lang w:val="en-US"/>
        </w:rPr>
        <w:t xml:space="preserve"> or geometry</w:t>
      </w:r>
      <w:r w:rsidR="00E3563B">
        <w:rPr>
          <w:rFonts w:ascii="Arial" w:hAnsi="Arial" w:cs="Arial"/>
          <w:sz w:val="22"/>
          <w:szCs w:val="22"/>
          <w:vertAlign w:val="superscript"/>
          <w:lang w:val="en-US"/>
        </w:rPr>
        <w:t>1,2</w:t>
      </w:r>
      <w:r w:rsidRPr="003E320A">
        <w:rPr>
          <w:rFonts w:ascii="Arial" w:hAnsi="Arial" w:cs="Arial"/>
          <w:sz w:val="22"/>
          <w:szCs w:val="22"/>
          <w:lang w:val="en-US"/>
        </w:rPr>
        <w:t>.</w:t>
      </w:r>
    </w:p>
    <w:p w14:paraId="6EDEAAD4" w14:textId="2D2954C0" w:rsidR="003E320A" w:rsidRPr="003E320A" w:rsidRDefault="003E320A" w:rsidP="003E320A">
      <w:pPr>
        <w:pStyle w:val="paragraph"/>
        <w:rPr>
          <w:rFonts w:ascii="Arial" w:hAnsi="Arial" w:cs="Arial"/>
          <w:sz w:val="22"/>
          <w:szCs w:val="22"/>
          <w:lang w:val="en-US"/>
        </w:rPr>
      </w:pPr>
      <w:r w:rsidRPr="003E320A">
        <w:rPr>
          <w:rFonts w:ascii="Arial" w:hAnsi="Arial" w:cs="Arial"/>
          <w:sz w:val="22"/>
          <w:szCs w:val="22"/>
          <w:lang w:val="en-US"/>
        </w:rPr>
        <w:t xml:space="preserve"> Over the past thirty years, efforts have been made to develop experimental techniques for studying hydrated species in the gas phase. Comparing the gas-phase structure with the singly hydrated gas-phase structure provides insight into the influence of molecular water on its properties. In contrast, performing a liquid-phase study allows us to gain insights into the influence of water as a solvent and approach the conditions relevant to biology.</w:t>
      </w:r>
      <w:r w:rsidR="00E3563B">
        <w:rPr>
          <w:rFonts w:ascii="Arial" w:hAnsi="Arial" w:cs="Arial"/>
          <w:sz w:val="22"/>
          <w:szCs w:val="22"/>
          <w:lang w:val="en-US"/>
        </w:rPr>
        <w:t xml:space="preserve"> Moreover, the addition of a solvent allows charge redistribution between the molecule and the solvent, thereby altering the local charge distribution and 3D structure.</w:t>
      </w:r>
    </w:p>
    <w:p w14:paraId="1B665975" w14:textId="0CC56BEB" w:rsidR="005166FE" w:rsidRPr="002E40F1" w:rsidRDefault="003E320A" w:rsidP="003E320A">
      <w:pPr>
        <w:pStyle w:val="paragraph"/>
        <w:rPr>
          <w:rFonts w:ascii="Arial" w:hAnsi="Arial" w:cs="Arial"/>
          <w:sz w:val="22"/>
          <w:szCs w:val="22"/>
          <w:lang w:val="en-GB"/>
        </w:rPr>
      </w:pPr>
      <w:r w:rsidRPr="003E320A">
        <w:rPr>
          <w:rFonts w:ascii="Arial" w:hAnsi="Arial" w:cs="Arial"/>
          <w:sz w:val="22"/>
          <w:szCs w:val="22"/>
          <w:lang w:val="en-US"/>
        </w:rPr>
        <w:t>Soft X-ray radiation provides a local probe into the atomic environment based on the electronic excitations of core electrons to unoccupied molecular orbitals, th</w:t>
      </w:r>
      <w:r w:rsidR="00E3563B">
        <w:rPr>
          <w:rFonts w:ascii="Arial" w:hAnsi="Arial" w:cs="Arial"/>
          <w:sz w:val="22"/>
          <w:szCs w:val="22"/>
          <w:lang w:val="en-US"/>
        </w:rPr>
        <w:t>ereby</w:t>
      </w:r>
      <w:r w:rsidRPr="003E320A">
        <w:rPr>
          <w:rFonts w:ascii="Arial" w:hAnsi="Arial" w:cs="Arial"/>
          <w:sz w:val="22"/>
          <w:szCs w:val="22"/>
          <w:lang w:val="en-US"/>
        </w:rPr>
        <w:t xml:space="preserve"> capturing both the electronic and geometric structures of the system under investigation. In this study, we first combined X-ray absorption spectroscopy with tandem mass spectrometry to obtain information about the electronic structure of singly hydrated, protonated </w:t>
      </w:r>
      <w:proofErr w:type="spellStart"/>
      <w:r w:rsidRPr="003E320A">
        <w:rPr>
          <w:rFonts w:ascii="Arial" w:hAnsi="Arial" w:cs="Arial"/>
          <w:sz w:val="22"/>
          <w:szCs w:val="22"/>
          <w:lang w:val="en-US"/>
        </w:rPr>
        <w:t>phosphotyrosine</w:t>
      </w:r>
      <w:proofErr w:type="spellEnd"/>
      <w:r w:rsidRPr="003E320A">
        <w:rPr>
          <w:rFonts w:ascii="Arial" w:hAnsi="Arial" w:cs="Arial"/>
          <w:sz w:val="22"/>
          <w:szCs w:val="22"/>
          <w:lang w:val="en-US"/>
        </w:rPr>
        <w:t xml:space="preserve">. We further explore the influence of the solvent on </w:t>
      </w:r>
      <w:proofErr w:type="spellStart"/>
      <w:r w:rsidRPr="003E320A">
        <w:rPr>
          <w:rFonts w:ascii="Arial" w:hAnsi="Arial" w:cs="Arial"/>
          <w:sz w:val="22"/>
          <w:szCs w:val="22"/>
          <w:lang w:val="en-US"/>
        </w:rPr>
        <w:t>phosphotyrosine</w:t>
      </w:r>
      <w:proofErr w:type="spellEnd"/>
      <w:r w:rsidRPr="003E320A">
        <w:rPr>
          <w:rFonts w:ascii="Arial" w:hAnsi="Arial" w:cs="Arial"/>
          <w:sz w:val="22"/>
          <w:szCs w:val="22"/>
          <w:lang w:val="en-US"/>
        </w:rPr>
        <w:t xml:space="preserve"> </w:t>
      </w:r>
      <w:r w:rsidR="00E3563B">
        <w:rPr>
          <w:rFonts w:ascii="Arial" w:hAnsi="Arial" w:cs="Arial"/>
          <w:sz w:val="22"/>
          <w:szCs w:val="22"/>
          <w:lang w:val="en-US"/>
        </w:rPr>
        <w:t>and address ultrafast charge-transfer dynamics using</w:t>
      </w:r>
      <w:r w:rsidRPr="003E320A">
        <w:rPr>
          <w:rFonts w:ascii="Arial" w:hAnsi="Arial" w:cs="Arial"/>
          <w:sz w:val="22"/>
          <w:szCs w:val="22"/>
          <w:lang w:val="en-US"/>
        </w:rPr>
        <w:t xml:space="preserve"> </w:t>
      </w:r>
      <w:r w:rsidR="00E3563B" w:rsidRPr="003C211C">
        <w:rPr>
          <w:rFonts w:ascii="Arial" w:hAnsi="Arial" w:cs="Arial"/>
          <w:sz w:val="22"/>
          <w:szCs w:val="22"/>
          <w:lang w:val="en-US"/>
        </w:rPr>
        <w:t xml:space="preserve">Auger–Meitner spectroscopy (AMS) </w:t>
      </w:r>
      <w:r w:rsidR="00E3563B">
        <w:rPr>
          <w:rFonts w:ascii="Arial" w:hAnsi="Arial" w:cs="Arial"/>
          <w:sz w:val="22"/>
          <w:szCs w:val="22"/>
          <w:lang w:val="en-US"/>
        </w:rPr>
        <w:t xml:space="preserve">in aqueous solution </w:t>
      </w:r>
      <w:r w:rsidRPr="003E320A">
        <w:rPr>
          <w:rFonts w:ascii="Arial" w:hAnsi="Arial" w:cs="Arial"/>
          <w:sz w:val="22"/>
          <w:szCs w:val="22"/>
          <w:lang w:val="en-US"/>
        </w:rPr>
        <w:t xml:space="preserve">in the soft X-ray </w:t>
      </w:r>
      <w:r w:rsidR="00E3563B" w:rsidRPr="003E320A">
        <w:rPr>
          <w:rFonts w:ascii="Arial" w:hAnsi="Arial" w:cs="Arial"/>
          <w:sz w:val="22"/>
          <w:szCs w:val="22"/>
          <w:lang w:val="en-US"/>
        </w:rPr>
        <w:t>range</w:t>
      </w:r>
      <w:r w:rsidR="00E3563B">
        <w:rPr>
          <w:rFonts w:ascii="Arial" w:hAnsi="Arial" w:cs="Arial"/>
          <w:sz w:val="22"/>
          <w:szCs w:val="22"/>
          <w:lang w:val="en-US"/>
        </w:rPr>
        <w:t xml:space="preserve"> and</w:t>
      </w:r>
      <w:r w:rsidRPr="003E320A">
        <w:rPr>
          <w:rFonts w:ascii="Arial" w:hAnsi="Arial" w:cs="Arial"/>
          <w:sz w:val="22"/>
          <w:szCs w:val="22"/>
          <w:lang w:val="en-US"/>
        </w:rPr>
        <w:t xml:space="preserve"> extend it to the tender X-ray domain.</w:t>
      </w:r>
      <w:r w:rsidR="005166FE" w:rsidRPr="002E40F1">
        <w:rPr>
          <w:rFonts w:ascii="Arial" w:hAnsi="Arial" w:cs="Arial"/>
          <w:sz w:val="22"/>
          <w:szCs w:val="22"/>
          <w:lang w:val="en-US"/>
        </w:rPr>
        <w:t> </w:t>
      </w:r>
    </w:p>
    <w:p w14:paraId="33B48501" w14:textId="06E947BD" w:rsidR="005166FE" w:rsidRPr="002E40F1" w:rsidRDefault="005166FE" w:rsidP="00E3563B">
      <w:pPr>
        <w:pStyle w:val="paragraph"/>
        <w:ind w:firstLine="0"/>
        <w:rPr>
          <w:rFonts w:ascii="Arial" w:hAnsi="Arial" w:cs="Arial"/>
          <w:sz w:val="22"/>
          <w:szCs w:val="22"/>
          <w:lang w:val="en-GB"/>
        </w:rPr>
      </w:pPr>
    </w:p>
    <w:p w14:paraId="2F5F3C73" w14:textId="145EA9B4"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00317D9F" w14:textId="77777777" w:rsidR="00E3563B" w:rsidRDefault="005166FE" w:rsidP="005166FE">
      <w:pPr>
        <w:pStyle w:val="reference"/>
        <w:rPr>
          <w:rFonts w:ascii="Arial" w:hAnsi="Arial" w:cs="Arial"/>
          <w:sz w:val="15"/>
          <w:szCs w:val="15"/>
          <w:lang w:val="en-US"/>
        </w:rPr>
      </w:pPr>
      <w:r w:rsidRPr="002E40F1">
        <w:rPr>
          <w:rFonts w:ascii="Arial" w:hAnsi="Arial" w:cs="Arial"/>
          <w:sz w:val="15"/>
          <w:szCs w:val="15"/>
          <w:lang w:val="en-US"/>
        </w:rPr>
        <w:t xml:space="preserve">1.   </w:t>
      </w:r>
      <w:bookmarkStart w:id="0" w:name="Name1"/>
      <w:bookmarkEnd w:id="0"/>
      <w:r w:rsidR="00E3563B" w:rsidRPr="00E3563B">
        <w:rPr>
          <w:rFonts w:ascii="Calibri" w:hAnsi="Calibri" w:cs="Calibri"/>
          <w:sz w:val="15"/>
          <w:szCs w:val="15"/>
          <w:lang w:val="en-US"/>
        </w:rPr>
        <w:t>﻿</w:t>
      </w:r>
      <w:r w:rsidR="00E3563B" w:rsidRPr="00E3563B">
        <w:rPr>
          <w:rFonts w:ascii="Arial" w:hAnsi="Arial" w:cs="Arial"/>
          <w:sz w:val="15"/>
          <w:szCs w:val="15"/>
          <w:lang w:val="en-US"/>
        </w:rPr>
        <w:t xml:space="preserve">J. M. Voss, K. C. Fischer, E. Garand, J. Mol. </w:t>
      </w:r>
      <w:proofErr w:type="spellStart"/>
      <w:r w:rsidR="00E3563B" w:rsidRPr="00E3563B">
        <w:rPr>
          <w:rFonts w:ascii="Arial" w:hAnsi="Arial" w:cs="Arial"/>
          <w:sz w:val="15"/>
          <w:szCs w:val="15"/>
          <w:lang w:val="en-US"/>
        </w:rPr>
        <w:t>Spectrosc</w:t>
      </w:r>
      <w:proofErr w:type="spellEnd"/>
      <w:r w:rsidR="00E3563B" w:rsidRPr="00E3563B">
        <w:rPr>
          <w:rFonts w:ascii="Arial" w:hAnsi="Arial" w:cs="Arial"/>
          <w:sz w:val="15"/>
          <w:szCs w:val="15"/>
          <w:lang w:val="en-US"/>
        </w:rPr>
        <w:t>. 2018, 347, 28.</w:t>
      </w:r>
    </w:p>
    <w:p w14:paraId="2E3A1EFD" w14:textId="173CD907" w:rsidR="005166FE" w:rsidRPr="00E3563B" w:rsidRDefault="005166FE" w:rsidP="005166FE">
      <w:pPr>
        <w:pStyle w:val="reference"/>
        <w:rPr>
          <w:rFonts w:ascii="Arial" w:hAnsi="Arial" w:cs="Arial"/>
          <w:sz w:val="15"/>
          <w:szCs w:val="15"/>
        </w:rPr>
      </w:pPr>
      <w:r w:rsidRPr="002E40F1">
        <w:rPr>
          <w:rFonts w:ascii="Arial" w:hAnsi="Arial" w:cs="Arial"/>
          <w:sz w:val="15"/>
          <w:szCs w:val="15"/>
          <w:lang w:val="en-US"/>
        </w:rPr>
        <w:t xml:space="preserve">2.   </w:t>
      </w:r>
      <w:r w:rsidR="00E3563B" w:rsidRPr="00E3563B">
        <w:rPr>
          <w:rFonts w:ascii="Arial" w:hAnsi="Arial" w:cs="Arial"/>
          <w:sz w:val="15"/>
          <w:szCs w:val="15"/>
        </w:rPr>
        <w:t xml:space="preserve">J. Leroux, J.-Y. Chesnel, </w:t>
      </w:r>
      <w:r w:rsidR="00E3563B" w:rsidRPr="00E3563B">
        <w:rPr>
          <w:rFonts w:ascii="Arial" w:hAnsi="Arial" w:cs="Arial"/>
          <w:sz w:val="15"/>
          <w:szCs w:val="15"/>
        </w:rPr>
        <w:t>et al</w:t>
      </w:r>
      <w:r w:rsidR="00E3563B">
        <w:rPr>
          <w:rFonts w:ascii="Arial" w:hAnsi="Arial" w:cs="Arial"/>
          <w:sz w:val="15"/>
          <w:szCs w:val="15"/>
        </w:rPr>
        <w:t>.</w:t>
      </w:r>
      <w:r w:rsidR="00E3563B" w:rsidRPr="00E3563B">
        <w:rPr>
          <w:rFonts w:ascii="Arial" w:hAnsi="Arial" w:cs="Arial"/>
          <w:sz w:val="15"/>
          <w:szCs w:val="15"/>
        </w:rPr>
        <w:t xml:space="preserve">, </w:t>
      </w:r>
      <w:proofErr w:type="spellStart"/>
      <w:r w:rsidR="00E3563B" w:rsidRPr="00E3563B">
        <w:rPr>
          <w:rFonts w:ascii="Arial" w:hAnsi="Arial" w:cs="Arial"/>
          <w:sz w:val="15"/>
          <w:szCs w:val="15"/>
        </w:rPr>
        <w:t>Chem</w:t>
      </w:r>
      <w:proofErr w:type="spellEnd"/>
      <w:r w:rsidR="00E3563B" w:rsidRPr="00E3563B">
        <w:rPr>
          <w:rFonts w:ascii="Arial" w:hAnsi="Arial" w:cs="Arial"/>
          <w:sz w:val="15"/>
          <w:szCs w:val="15"/>
        </w:rPr>
        <w:t xml:space="preserve">. – </w:t>
      </w:r>
      <w:proofErr w:type="spellStart"/>
      <w:r w:rsidR="00E3563B" w:rsidRPr="00E3563B">
        <w:rPr>
          <w:rFonts w:ascii="Arial" w:hAnsi="Arial" w:cs="Arial"/>
          <w:sz w:val="15"/>
          <w:szCs w:val="15"/>
        </w:rPr>
        <w:t>Eur</w:t>
      </w:r>
      <w:proofErr w:type="spellEnd"/>
      <w:r w:rsidR="00E3563B" w:rsidRPr="00E3563B">
        <w:rPr>
          <w:rFonts w:ascii="Arial" w:hAnsi="Arial" w:cs="Arial"/>
          <w:sz w:val="15"/>
          <w:szCs w:val="15"/>
        </w:rPr>
        <w:t>. J., 2025, 31, 202403665</w:t>
      </w:r>
    </w:p>
    <w:p w14:paraId="5CDAC6F8" w14:textId="77777777"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29025B"/>
    <w:rsid w:val="00297F1D"/>
    <w:rsid w:val="002E40F1"/>
    <w:rsid w:val="003E320A"/>
    <w:rsid w:val="005166FE"/>
    <w:rsid w:val="0063764B"/>
    <w:rsid w:val="006477D0"/>
    <w:rsid w:val="007B4A64"/>
    <w:rsid w:val="007E7378"/>
    <w:rsid w:val="008D4E08"/>
    <w:rsid w:val="0091292E"/>
    <w:rsid w:val="00AB1846"/>
    <w:rsid w:val="00B06DCF"/>
    <w:rsid w:val="00CF36A0"/>
    <w:rsid w:val="00DF3681"/>
    <w:rsid w:val="00E30A4A"/>
    <w:rsid w:val="00E3563B"/>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690"/>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21</TotalTime>
  <Pages>1</Pages>
  <Words>370</Words>
  <Characters>2114</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juliette leroux</cp:lastModifiedBy>
  <cp:revision>3</cp:revision>
  <cp:lastPrinted>1899-12-31T23:50:39Z</cp:lastPrinted>
  <dcterms:created xsi:type="dcterms:W3CDTF">2026-01-07T14:53:00Z</dcterms:created>
  <dcterms:modified xsi:type="dcterms:W3CDTF">2026-01-07T15:13:00Z</dcterms:modified>
</cp:coreProperties>
</file>