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458E" w14:textId="57C50D2E" w:rsidR="005166FE" w:rsidRPr="002E40F1" w:rsidRDefault="00A01B70" w:rsidP="005166FE">
      <w:pPr>
        <w:pStyle w:val="papertitle"/>
        <w:rPr>
          <w:rFonts w:ascii="Arial" w:hAnsi="Arial" w:cs="Arial"/>
          <w:lang w:val="en-GB"/>
        </w:rPr>
      </w:pPr>
      <w:r w:rsidRPr="00A01B70">
        <w:rPr>
          <w:rFonts w:ascii="Arial" w:hAnsi="Arial" w:cs="Arial"/>
          <w:lang w:val="en-US"/>
        </w:rPr>
        <w:t xml:space="preserve">Unveiling the Water/Solid Interface in Low-Carbon Cements through Cryo-XPS </w:t>
      </w:r>
    </w:p>
    <w:p w14:paraId="491C3306" w14:textId="07D1C72B" w:rsidR="005166FE" w:rsidRPr="00A01B70" w:rsidRDefault="00A01B70" w:rsidP="005166FE">
      <w:pPr>
        <w:pStyle w:val="paperauthor"/>
        <w:rPr>
          <w:rFonts w:ascii="Arial" w:hAnsi="Arial" w:cs="Arial"/>
        </w:rPr>
      </w:pPr>
      <w:r w:rsidRPr="00A01B70">
        <w:rPr>
          <w:rFonts w:ascii="Arial" w:hAnsi="Arial" w:cs="Arial"/>
        </w:rPr>
        <w:t>Yannick Demeusy, Sandrine Gauffinet, Christophe Labbez, Isidoro López*</w:t>
      </w:r>
    </w:p>
    <w:p w14:paraId="6E791297" w14:textId="4AFE15B3" w:rsidR="00A01B70" w:rsidRDefault="00A01B70" w:rsidP="005166FE">
      <w:pPr>
        <w:pStyle w:val="authoraffiliation"/>
        <w:rPr>
          <w:rFonts w:ascii="Arial" w:hAnsi="Arial" w:cs="Arial"/>
        </w:rPr>
      </w:pPr>
      <w:r w:rsidRPr="00A01B70">
        <w:rPr>
          <w:rFonts w:ascii="Arial" w:hAnsi="Arial" w:cs="Arial"/>
        </w:rPr>
        <w:t>Laboratoire ICB UMR 6303 CNRS, Université</w:t>
      </w:r>
      <w:r>
        <w:rPr>
          <w:rFonts w:ascii="Arial" w:hAnsi="Arial" w:cs="Arial"/>
        </w:rPr>
        <w:t xml:space="preserve"> </w:t>
      </w:r>
      <w:r w:rsidRPr="00A01B70">
        <w:rPr>
          <w:rFonts w:ascii="Arial" w:hAnsi="Arial" w:cs="Arial"/>
        </w:rPr>
        <w:t>Bourgogne</w:t>
      </w:r>
      <w:r>
        <w:rPr>
          <w:rFonts w:ascii="Arial" w:hAnsi="Arial" w:cs="Arial"/>
        </w:rPr>
        <w:t xml:space="preserve"> Europe</w:t>
      </w:r>
      <w:r w:rsidRPr="00A01B70">
        <w:rPr>
          <w:rFonts w:ascii="Arial" w:hAnsi="Arial" w:cs="Arial"/>
        </w:rPr>
        <w:t xml:space="preserve">, 21078 Dijon, </w:t>
      </w:r>
      <w:r>
        <w:rPr>
          <w:rFonts w:ascii="Arial" w:hAnsi="Arial" w:cs="Arial"/>
        </w:rPr>
        <w:t>France</w:t>
      </w:r>
    </w:p>
    <w:p w14:paraId="40B8EC95" w14:textId="4D903CC1" w:rsidR="005166FE" w:rsidRPr="00A01B70" w:rsidRDefault="00A01B70" w:rsidP="005166FE">
      <w:pPr>
        <w:pStyle w:val="authoraffiliation"/>
        <w:rPr>
          <w:rFonts w:ascii="Arial" w:hAnsi="Arial" w:cs="Arial"/>
        </w:rPr>
      </w:pPr>
      <w:proofErr w:type="gramStart"/>
      <w:r w:rsidRPr="00A01B70">
        <w:rPr>
          <w:rFonts w:ascii="Arial" w:hAnsi="Arial" w:cs="Arial"/>
        </w:rPr>
        <w:t>Contact:</w:t>
      </w:r>
      <w:proofErr w:type="gramEnd"/>
      <w:r w:rsidRPr="00A01B70">
        <w:rPr>
          <w:rFonts w:ascii="Arial" w:hAnsi="Arial" w:cs="Arial"/>
        </w:rPr>
        <w:t xml:space="preserve"> isidoro.lopez-marin@u-bourgogne.fr</w:t>
      </w:r>
    </w:p>
    <w:p w14:paraId="1158E15B" w14:textId="631C37AD" w:rsidR="005166FE" w:rsidRPr="002E40F1" w:rsidRDefault="005166FE" w:rsidP="005166FE">
      <w:pPr>
        <w:pStyle w:val="Titre1"/>
        <w:rPr>
          <w:rFonts w:ascii="Arial" w:hAnsi="Arial" w:cs="Arial"/>
          <w:sz w:val="22"/>
          <w:szCs w:val="22"/>
          <w:lang w:val="en-GB"/>
        </w:rPr>
      </w:pPr>
      <w:r w:rsidRPr="002E40F1">
        <w:rPr>
          <w:rFonts w:ascii="Arial" w:hAnsi="Arial" w:cs="Arial"/>
          <w:sz w:val="22"/>
          <w:szCs w:val="22"/>
          <w:lang w:val="en-US"/>
        </w:rPr>
        <w:t>ABSTRACT</w:t>
      </w:r>
    </w:p>
    <w:p w14:paraId="77C6C72A" w14:textId="3042E90D" w:rsidR="005166FE" w:rsidRDefault="006848C6" w:rsidP="005166FE">
      <w:pPr>
        <w:pStyle w:val="paragraph"/>
        <w:rPr>
          <w:rFonts w:ascii="Arial" w:hAnsi="Arial" w:cs="Arial"/>
          <w:sz w:val="22"/>
          <w:szCs w:val="22"/>
          <w:lang w:val="en-US"/>
        </w:rPr>
      </w:pPr>
      <w:r w:rsidRPr="006848C6">
        <w:rPr>
          <w:rFonts w:ascii="Arial" w:hAnsi="Arial" w:cs="Arial"/>
          <w:sz w:val="22"/>
          <w:szCs w:val="22"/>
          <w:lang w:val="en-US"/>
        </w:rPr>
        <w:t>Concrete is the second most used substance by humanity, after water. Its production relies on Portland cement (PC), which contributes about 8% of global anthropogenic CO</w:t>
      </w:r>
      <w:r w:rsidRPr="006848C6">
        <w:rPr>
          <w:rFonts w:ascii="Cambria Math" w:hAnsi="Cambria Math" w:cs="Cambria Math"/>
          <w:sz w:val="22"/>
          <w:szCs w:val="22"/>
          <w:lang w:val="en-US"/>
        </w:rPr>
        <w:t>₂</w:t>
      </w:r>
      <w:r w:rsidRPr="006848C6">
        <w:rPr>
          <w:rFonts w:ascii="Arial" w:hAnsi="Arial" w:cs="Arial"/>
          <w:sz w:val="22"/>
          <w:szCs w:val="22"/>
          <w:lang w:val="en-US"/>
        </w:rPr>
        <w:t xml:space="preserve"> emissions.</w:t>
      </w:r>
      <w:r w:rsidR="000D5C0D" w:rsidRPr="000D5C0D">
        <w:rPr>
          <w:rFonts w:ascii="Arial" w:hAnsi="Arial" w:cs="Arial"/>
          <w:sz w:val="22"/>
          <w:szCs w:val="22"/>
          <w:vertAlign w:val="superscript"/>
          <w:lang w:val="en-US"/>
        </w:rPr>
        <w:t>1</w:t>
      </w:r>
      <w:r w:rsidRPr="006848C6">
        <w:rPr>
          <w:rFonts w:ascii="Arial" w:hAnsi="Arial" w:cs="Arial"/>
          <w:sz w:val="22"/>
          <w:szCs w:val="22"/>
          <w:lang w:val="en-US"/>
        </w:rPr>
        <w:t xml:space="preserve"> Most of these emissions come from clinker, formed by the thermal decomposition of limestone: </w:t>
      </w:r>
      <w:proofErr w:type="spellStart"/>
      <w:r w:rsidRPr="006848C6">
        <w:rPr>
          <w:rFonts w:ascii="Arial" w:hAnsi="Arial" w:cs="Arial"/>
          <w:sz w:val="22"/>
          <w:szCs w:val="22"/>
          <w:lang w:val="en-US"/>
        </w:rPr>
        <w:t>CaCO</w:t>
      </w:r>
      <w:proofErr w:type="spellEnd"/>
      <w:r w:rsidRPr="006848C6">
        <w:rPr>
          <w:rFonts w:ascii="Cambria Math" w:hAnsi="Cambria Math" w:cs="Cambria Math"/>
          <w:sz w:val="22"/>
          <w:szCs w:val="22"/>
          <w:lang w:val="en-US"/>
        </w:rPr>
        <w:t>₃</w:t>
      </w:r>
      <w:r w:rsidRPr="006848C6">
        <w:rPr>
          <w:rFonts w:ascii="Arial" w:hAnsi="Arial" w:cs="Arial"/>
          <w:sz w:val="22"/>
          <w:szCs w:val="22"/>
          <w:lang w:val="en-US"/>
        </w:rPr>
        <w:t>(s) → CaO(s) + CO</w:t>
      </w:r>
      <w:r w:rsidRPr="006848C6">
        <w:rPr>
          <w:rFonts w:ascii="Cambria Math" w:hAnsi="Cambria Math" w:cs="Cambria Math"/>
          <w:sz w:val="22"/>
          <w:szCs w:val="22"/>
          <w:lang w:val="en-US"/>
        </w:rPr>
        <w:t>₂</w:t>
      </w:r>
      <w:r w:rsidRPr="006848C6">
        <w:rPr>
          <w:rFonts w:ascii="Arial" w:hAnsi="Arial" w:cs="Arial"/>
          <w:sz w:val="22"/>
          <w:szCs w:val="22"/>
          <w:lang w:val="en-US"/>
        </w:rPr>
        <w:t>(g) (T ≈ 1450 °C), releasing 0.8 tons of CO</w:t>
      </w:r>
      <w:r w:rsidRPr="006848C6">
        <w:rPr>
          <w:rFonts w:ascii="Cambria Math" w:hAnsi="Cambria Math" w:cs="Cambria Math"/>
          <w:sz w:val="22"/>
          <w:szCs w:val="22"/>
          <w:lang w:val="en-US"/>
        </w:rPr>
        <w:t>₂</w:t>
      </w:r>
      <w:r w:rsidRPr="006848C6">
        <w:rPr>
          <w:rFonts w:ascii="Arial" w:hAnsi="Arial" w:cs="Arial"/>
          <w:sz w:val="22"/>
          <w:szCs w:val="22"/>
          <w:lang w:val="en-US"/>
        </w:rPr>
        <w:t xml:space="preserve"> per ton of clinker. A promising approach to </w:t>
      </w:r>
      <w:proofErr w:type="gramStart"/>
      <w:r w:rsidRPr="006848C6">
        <w:rPr>
          <w:rFonts w:ascii="Arial" w:hAnsi="Arial" w:cs="Arial"/>
          <w:sz w:val="22"/>
          <w:szCs w:val="22"/>
          <w:lang w:val="en-US"/>
        </w:rPr>
        <w:t>reduce</w:t>
      </w:r>
      <w:proofErr w:type="gramEnd"/>
      <w:r w:rsidRPr="006848C6">
        <w:rPr>
          <w:rFonts w:ascii="Arial" w:hAnsi="Arial" w:cs="Arial"/>
          <w:sz w:val="22"/>
          <w:szCs w:val="22"/>
          <w:lang w:val="en-US"/>
        </w:rPr>
        <w:t xml:space="preserve"> cement’s carbon footprint is partially replacing </w:t>
      </w:r>
      <w:proofErr w:type="gramStart"/>
      <w:r w:rsidRPr="006848C6">
        <w:rPr>
          <w:rFonts w:ascii="Arial" w:hAnsi="Arial" w:cs="Arial"/>
          <w:sz w:val="22"/>
          <w:szCs w:val="22"/>
          <w:lang w:val="en-US"/>
        </w:rPr>
        <w:t>clinker</w:t>
      </w:r>
      <w:proofErr w:type="gramEnd"/>
      <w:r w:rsidRPr="006848C6">
        <w:rPr>
          <w:rFonts w:ascii="Arial" w:hAnsi="Arial" w:cs="Arial"/>
          <w:sz w:val="22"/>
          <w:szCs w:val="22"/>
          <w:lang w:val="en-US"/>
        </w:rPr>
        <w:t xml:space="preserve"> with supplementary cementitious materials (SCMs). Among these, calcined clays are particularly attractive, and cements containing them are already produced and used in some countries.</w:t>
      </w:r>
      <w:r w:rsidR="000D5C0D" w:rsidRPr="000D5C0D">
        <w:rPr>
          <w:rFonts w:ascii="Arial" w:hAnsi="Arial" w:cs="Arial"/>
          <w:sz w:val="22"/>
          <w:szCs w:val="22"/>
          <w:vertAlign w:val="superscript"/>
          <w:lang w:val="en-US"/>
        </w:rPr>
        <w:t>2</w:t>
      </w:r>
    </w:p>
    <w:p w14:paraId="372687D3" w14:textId="4C66613E" w:rsidR="006848C6" w:rsidRDefault="003507EB" w:rsidP="005166FE">
      <w:pPr>
        <w:pStyle w:val="paragraph"/>
        <w:rPr>
          <w:rFonts w:ascii="Arial" w:hAnsi="Arial" w:cs="Arial"/>
          <w:sz w:val="22"/>
          <w:szCs w:val="22"/>
          <w:lang w:val="en-GB"/>
        </w:rPr>
      </w:pPr>
      <w:r w:rsidRPr="003507EB">
        <w:rPr>
          <w:rFonts w:ascii="Arial" w:hAnsi="Arial" w:cs="Arial"/>
          <w:sz w:val="22"/>
          <w:szCs w:val="22"/>
          <w:lang w:val="en-GB"/>
        </w:rPr>
        <w:t xml:space="preserve">Considering that concrete hardening is driven by the hydration reactions of clinker in the presence of aggregates, studying the interactions at the water/calcined clay interface is essential to understand the hardening process of this type of low-carbon concrete. One particularly relevant interaction is the electrostatic interaction between clay </w:t>
      </w:r>
      <w:proofErr w:type="gramStart"/>
      <w:r w:rsidRPr="003507EB">
        <w:rPr>
          <w:rFonts w:ascii="Arial" w:hAnsi="Arial" w:cs="Arial"/>
          <w:sz w:val="22"/>
          <w:szCs w:val="22"/>
          <w:lang w:val="en-GB"/>
        </w:rPr>
        <w:t>particles</w:t>
      </w:r>
      <w:proofErr w:type="gramEnd"/>
      <w:r w:rsidRPr="003507EB">
        <w:rPr>
          <w:rFonts w:ascii="Arial" w:hAnsi="Arial" w:cs="Arial"/>
          <w:sz w:val="22"/>
          <w:szCs w:val="22"/>
          <w:lang w:val="en-GB"/>
        </w:rPr>
        <w:t xml:space="preserve"> and the ions present in water. Indeed, the hydration water in concrete has a high pH, meaning that the silanol (Si–OH) and </w:t>
      </w:r>
      <w:proofErr w:type="spellStart"/>
      <w:r w:rsidRPr="003507EB">
        <w:rPr>
          <w:rFonts w:ascii="Arial" w:hAnsi="Arial" w:cs="Arial"/>
          <w:sz w:val="22"/>
          <w:szCs w:val="22"/>
          <w:lang w:val="en-GB"/>
        </w:rPr>
        <w:t>aluminol</w:t>
      </w:r>
      <w:proofErr w:type="spellEnd"/>
      <w:r w:rsidRPr="003507EB">
        <w:rPr>
          <w:rFonts w:ascii="Arial" w:hAnsi="Arial" w:cs="Arial"/>
          <w:sz w:val="22"/>
          <w:szCs w:val="22"/>
          <w:lang w:val="en-GB"/>
        </w:rPr>
        <w:t xml:space="preserve"> (Al–OH) groups on the surface of calcined clay particles can become deprotonated. As a result, the particles carry a negative surface charge, which is balanced by cations present in the water.</w:t>
      </w:r>
    </w:p>
    <w:p w14:paraId="24A2920A" w14:textId="5BE52D94" w:rsidR="005166FE" w:rsidRPr="003507EB" w:rsidRDefault="003507EB" w:rsidP="003507EB">
      <w:pPr>
        <w:pStyle w:val="paragraph"/>
        <w:rPr>
          <w:rFonts w:ascii="Arial" w:hAnsi="Arial" w:cs="Arial"/>
          <w:sz w:val="22"/>
          <w:szCs w:val="22"/>
          <w:lang w:val="en-GB"/>
        </w:rPr>
      </w:pPr>
      <w:r w:rsidRPr="003507EB">
        <w:rPr>
          <w:rFonts w:ascii="Arial" w:hAnsi="Arial" w:cs="Arial"/>
          <w:sz w:val="22"/>
          <w:szCs w:val="22"/>
          <w:lang w:val="en-GB"/>
        </w:rPr>
        <w:t xml:space="preserve">In this contribution, </w:t>
      </w:r>
      <w:r>
        <w:rPr>
          <w:rFonts w:ascii="Arial" w:hAnsi="Arial" w:cs="Arial"/>
          <w:sz w:val="22"/>
          <w:szCs w:val="22"/>
          <w:lang w:val="en-GB"/>
        </w:rPr>
        <w:t xml:space="preserve">a </w:t>
      </w:r>
      <w:r w:rsidRPr="003507EB">
        <w:rPr>
          <w:rFonts w:ascii="Arial" w:hAnsi="Arial" w:cs="Arial"/>
          <w:sz w:val="22"/>
          <w:szCs w:val="22"/>
          <w:lang w:val="en-GB"/>
        </w:rPr>
        <w:t>XPS study of the water/calcined clay interface</w:t>
      </w:r>
      <w:r w:rsidR="00D85DE2">
        <w:rPr>
          <w:rFonts w:ascii="Arial" w:hAnsi="Arial" w:cs="Arial"/>
          <w:sz w:val="22"/>
          <w:szCs w:val="22"/>
          <w:lang w:val="en-GB"/>
        </w:rPr>
        <w:t xml:space="preserve"> is presented</w:t>
      </w:r>
      <w:r w:rsidRPr="003507EB">
        <w:rPr>
          <w:rFonts w:ascii="Arial" w:hAnsi="Arial" w:cs="Arial"/>
          <w:sz w:val="22"/>
          <w:szCs w:val="22"/>
          <w:lang w:val="en-GB"/>
        </w:rPr>
        <w:t xml:space="preserve">. To preserve the water/solid interface under ultrahigh vacuum conditions, we performed cryo-XPS experiments, in which the interface was rapidly frozen to prevent water crystallization and maintained in this state throughout the measurement process. We show that the results cannot be interpreted using simple methods based on the relative sensitivity factors (RSFs) of the </w:t>
      </w:r>
      <w:proofErr w:type="spellStart"/>
      <w:r w:rsidRPr="003507EB">
        <w:rPr>
          <w:rFonts w:ascii="Arial" w:hAnsi="Arial" w:cs="Arial"/>
          <w:sz w:val="22"/>
          <w:szCs w:val="22"/>
          <w:lang w:val="en-GB"/>
        </w:rPr>
        <w:t>analyzed</w:t>
      </w:r>
      <w:proofErr w:type="spellEnd"/>
      <w:r w:rsidRPr="003507EB">
        <w:rPr>
          <w:rFonts w:ascii="Arial" w:hAnsi="Arial" w:cs="Arial"/>
          <w:sz w:val="22"/>
          <w:szCs w:val="22"/>
          <w:lang w:val="en-GB"/>
        </w:rPr>
        <w:t xml:space="preserve"> core levels. Instead, we simulated the peak areas using SESSA software</w:t>
      </w:r>
      <w:r w:rsidR="000D5C0D" w:rsidRPr="002836C1">
        <w:rPr>
          <w:rFonts w:ascii="Arial" w:hAnsi="Arial" w:cs="Arial"/>
          <w:sz w:val="22"/>
          <w:szCs w:val="22"/>
          <w:vertAlign w:val="superscript"/>
          <w:lang w:val="en-GB"/>
        </w:rPr>
        <w:t>3</w:t>
      </w:r>
      <w:r w:rsidRPr="003507EB">
        <w:rPr>
          <w:rFonts w:ascii="Arial" w:hAnsi="Arial" w:cs="Arial"/>
          <w:sz w:val="22"/>
          <w:szCs w:val="22"/>
          <w:lang w:val="en-GB"/>
        </w:rPr>
        <w:t xml:space="preserve"> with relatively simple models, given the complexity of the interface. Model optimization allowed us to calculate the surface charge density of the particles at different pH values, which agreed well with alternative measurements of the same parameter obtained by potentiometric titration. We thus demonstrate that the methodology developed—combining cryo-XPS experiments with SESSA simulations—is a more powerful approach than previous studies of inorganic water/solid interfaces using RSF-based cryo-XPS analysis.</w:t>
      </w:r>
      <w:r w:rsidR="000D5C0D">
        <w:rPr>
          <w:rFonts w:ascii="Arial" w:hAnsi="Arial" w:cs="Arial"/>
          <w:sz w:val="22"/>
          <w:szCs w:val="22"/>
          <w:vertAlign w:val="superscript"/>
          <w:lang w:val="en-US"/>
        </w:rPr>
        <w:t>4</w:t>
      </w:r>
      <w:r w:rsidR="005166FE" w:rsidRPr="002E40F1">
        <w:rPr>
          <w:rFonts w:ascii="Arial" w:hAnsi="Arial" w:cs="Arial"/>
          <w:sz w:val="22"/>
          <w:szCs w:val="22"/>
          <w:lang w:val="en-US"/>
        </w:rPr>
        <w:t> </w:t>
      </w:r>
    </w:p>
    <w:p w14:paraId="0BC95131" w14:textId="77777777"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453C8A2F" w14:textId="77777777"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14:paraId="3E8E0E8E" w14:textId="684B283F" w:rsidR="005166FE" w:rsidRPr="00297F1D" w:rsidRDefault="005166FE" w:rsidP="005166FE">
      <w:pPr>
        <w:pStyle w:val="Titre1"/>
        <w:rPr>
          <w:rFonts w:ascii="Arial" w:hAnsi="Arial" w:cs="Arial"/>
          <w:caps w:val="0"/>
          <w:color w:val="0000FF"/>
          <w:sz w:val="22"/>
          <w:szCs w:val="22"/>
          <w:lang w:val="en-GB"/>
        </w:rPr>
      </w:pPr>
      <w:r w:rsidRPr="002E40F1">
        <w:rPr>
          <w:rFonts w:ascii="Arial" w:hAnsi="Arial" w:cs="Arial"/>
          <w:sz w:val="22"/>
          <w:szCs w:val="22"/>
          <w:lang w:val="en-US"/>
        </w:rPr>
        <w:t>References</w:t>
      </w:r>
    </w:p>
    <w:p w14:paraId="1FBE5D87" w14:textId="092B6A8A" w:rsidR="003507EB" w:rsidRDefault="005166FE" w:rsidP="005166FE">
      <w:pPr>
        <w:pStyle w:val="reference"/>
        <w:rPr>
          <w:rFonts w:ascii="Arial" w:hAnsi="Arial" w:cs="Arial"/>
          <w:sz w:val="15"/>
          <w:szCs w:val="15"/>
          <w:lang w:val="en-US"/>
        </w:rPr>
      </w:pPr>
      <w:r w:rsidRPr="002E40F1">
        <w:rPr>
          <w:rFonts w:ascii="Arial" w:hAnsi="Arial" w:cs="Arial"/>
          <w:sz w:val="15"/>
          <w:szCs w:val="15"/>
          <w:lang w:val="en-US"/>
        </w:rPr>
        <w:t xml:space="preserve">1.   </w:t>
      </w:r>
      <w:bookmarkStart w:id="0" w:name="Name1"/>
      <w:bookmarkEnd w:id="0"/>
      <w:r w:rsidR="003507EB" w:rsidRPr="003507EB">
        <w:rPr>
          <w:rFonts w:ascii="Arial" w:hAnsi="Arial" w:cs="Arial"/>
          <w:sz w:val="15"/>
          <w:szCs w:val="15"/>
          <w:lang w:val="en-US"/>
        </w:rPr>
        <w:t>Boden, T., Andres B. et Marland, G. Global CO2 Emissions from Fossil-Fuel Burning, Cement Manufacture, and Gas Flaring, Carbon</w:t>
      </w:r>
      <w:r w:rsidR="003507EB">
        <w:rPr>
          <w:rFonts w:ascii="Arial" w:hAnsi="Arial" w:cs="Arial"/>
          <w:sz w:val="15"/>
          <w:szCs w:val="15"/>
          <w:lang w:val="en-US"/>
        </w:rPr>
        <w:t xml:space="preserve"> </w:t>
      </w:r>
      <w:r w:rsidR="003507EB" w:rsidRPr="003507EB">
        <w:rPr>
          <w:rFonts w:ascii="Arial" w:hAnsi="Arial" w:cs="Arial"/>
          <w:sz w:val="15"/>
          <w:szCs w:val="15"/>
          <w:lang w:val="en-US"/>
        </w:rPr>
        <w:t>Dioxide Information Analysis Center, Oak Ridge National Laboratory, Oak Ridge, 2017. https://cdiac.ess-dive. lbl.gov/trends/</w:t>
      </w:r>
      <w:proofErr w:type="spellStart"/>
      <w:r w:rsidR="003507EB" w:rsidRPr="003507EB">
        <w:rPr>
          <w:rFonts w:ascii="Arial" w:hAnsi="Arial" w:cs="Arial"/>
          <w:sz w:val="15"/>
          <w:szCs w:val="15"/>
          <w:lang w:val="en-US"/>
        </w:rPr>
        <w:t>emis</w:t>
      </w:r>
      <w:proofErr w:type="spellEnd"/>
      <w:r w:rsidR="003507EB" w:rsidRPr="003507EB">
        <w:rPr>
          <w:rFonts w:ascii="Arial" w:hAnsi="Arial" w:cs="Arial"/>
          <w:sz w:val="15"/>
          <w:szCs w:val="15"/>
          <w:lang w:val="en-US"/>
        </w:rPr>
        <w:t>/tre_glob.html.</w:t>
      </w:r>
    </w:p>
    <w:p w14:paraId="7916ED72" w14:textId="5039F7A1"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2.</w:t>
      </w:r>
      <w:r w:rsidR="003507EB" w:rsidRPr="003507EB">
        <w:rPr>
          <w:lang w:val="en-US"/>
        </w:rPr>
        <w:t xml:space="preserve"> </w:t>
      </w:r>
      <w:r w:rsidR="003507EB">
        <w:rPr>
          <w:lang w:val="en-US"/>
        </w:rPr>
        <w:t xml:space="preserve">  </w:t>
      </w:r>
      <w:r w:rsidR="003507EB" w:rsidRPr="003507EB">
        <w:rPr>
          <w:rFonts w:ascii="Arial" w:hAnsi="Arial" w:cs="Arial"/>
          <w:sz w:val="15"/>
          <w:szCs w:val="15"/>
          <w:lang w:val="en-US"/>
        </w:rPr>
        <w:t xml:space="preserve">Scrivener, K.; Avet, F.; </w:t>
      </w:r>
      <w:proofErr w:type="spellStart"/>
      <w:r w:rsidR="003507EB" w:rsidRPr="003507EB">
        <w:rPr>
          <w:rFonts w:ascii="Arial" w:hAnsi="Arial" w:cs="Arial"/>
          <w:sz w:val="15"/>
          <w:szCs w:val="15"/>
          <w:lang w:val="en-US"/>
        </w:rPr>
        <w:t>Maraghechi</w:t>
      </w:r>
      <w:proofErr w:type="spellEnd"/>
      <w:r w:rsidR="003507EB" w:rsidRPr="003507EB">
        <w:rPr>
          <w:rFonts w:ascii="Arial" w:hAnsi="Arial" w:cs="Arial"/>
          <w:sz w:val="15"/>
          <w:szCs w:val="15"/>
          <w:lang w:val="en-US"/>
        </w:rPr>
        <w:t xml:space="preserve">, H.; Zunino, F.; Ston, J.; </w:t>
      </w:r>
      <w:proofErr w:type="spellStart"/>
      <w:r w:rsidR="003507EB" w:rsidRPr="003507EB">
        <w:rPr>
          <w:rFonts w:ascii="Arial" w:hAnsi="Arial" w:cs="Arial"/>
          <w:sz w:val="15"/>
          <w:szCs w:val="15"/>
          <w:lang w:val="en-US"/>
        </w:rPr>
        <w:t>Hanpongpun</w:t>
      </w:r>
      <w:proofErr w:type="spellEnd"/>
      <w:r w:rsidR="003507EB" w:rsidRPr="003507EB">
        <w:rPr>
          <w:rFonts w:ascii="Arial" w:hAnsi="Arial" w:cs="Arial"/>
          <w:sz w:val="15"/>
          <w:szCs w:val="15"/>
          <w:lang w:val="en-US"/>
        </w:rPr>
        <w:t xml:space="preserve">, W.; Favier, A. Green Materials </w:t>
      </w:r>
      <w:r w:rsidR="003507EB" w:rsidRPr="003507EB">
        <w:rPr>
          <w:rFonts w:ascii="Arial" w:hAnsi="Arial" w:cs="Arial"/>
          <w:b/>
          <w:bCs/>
          <w:sz w:val="15"/>
          <w:szCs w:val="15"/>
          <w:lang w:val="en-US"/>
        </w:rPr>
        <w:t>2019</w:t>
      </w:r>
      <w:r w:rsidR="003507EB" w:rsidRPr="003507EB">
        <w:rPr>
          <w:rFonts w:ascii="Arial" w:hAnsi="Arial" w:cs="Arial"/>
          <w:sz w:val="15"/>
          <w:szCs w:val="15"/>
          <w:lang w:val="en-US"/>
        </w:rPr>
        <w:t xml:space="preserve">, </w:t>
      </w:r>
      <w:r w:rsidR="003507EB" w:rsidRPr="000D5C0D">
        <w:rPr>
          <w:rFonts w:ascii="Arial" w:hAnsi="Arial" w:cs="Arial"/>
          <w:i/>
          <w:iCs/>
          <w:sz w:val="15"/>
          <w:szCs w:val="15"/>
          <w:lang w:val="en-US"/>
        </w:rPr>
        <w:t>7</w:t>
      </w:r>
      <w:r w:rsidR="003507EB" w:rsidRPr="003507EB">
        <w:rPr>
          <w:rFonts w:ascii="Arial" w:hAnsi="Arial" w:cs="Arial"/>
          <w:sz w:val="15"/>
          <w:szCs w:val="15"/>
          <w:lang w:val="en-US"/>
        </w:rPr>
        <w:t xml:space="preserve"> (1), 3–14.</w:t>
      </w:r>
    </w:p>
    <w:p w14:paraId="7FA022ED" w14:textId="40058624" w:rsidR="005166FE" w:rsidRPr="002E40F1" w:rsidRDefault="005166FE" w:rsidP="005166FE">
      <w:pPr>
        <w:pStyle w:val="reference"/>
        <w:rPr>
          <w:rFonts w:ascii="Arial" w:hAnsi="Arial" w:cs="Arial"/>
          <w:sz w:val="15"/>
          <w:szCs w:val="15"/>
          <w:lang w:val="en-GB"/>
        </w:rPr>
      </w:pPr>
      <w:r w:rsidRPr="002E40F1">
        <w:rPr>
          <w:rFonts w:ascii="Arial" w:hAnsi="Arial" w:cs="Arial"/>
          <w:sz w:val="15"/>
          <w:szCs w:val="15"/>
          <w:lang w:val="en-US"/>
        </w:rPr>
        <w:t xml:space="preserve">3.   </w:t>
      </w:r>
      <w:r w:rsidR="000D5C0D" w:rsidRPr="000D5C0D">
        <w:rPr>
          <w:rFonts w:ascii="Arial" w:hAnsi="Arial" w:cs="Arial"/>
          <w:sz w:val="15"/>
          <w:szCs w:val="15"/>
          <w:lang w:val="en-US"/>
        </w:rPr>
        <w:t xml:space="preserve">Werner, W. S. M.; Powell, C. J. Journal of Vacuum Science &amp; Technology A </w:t>
      </w:r>
      <w:r w:rsidR="000D5C0D" w:rsidRPr="000D5C0D">
        <w:rPr>
          <w:rFonts w:ascii="Arial" w:hAnsi="Arial" w:cs="Arial"/>
          <w:b/>
          <w:bCs/>
          <w:sz w:val="15"/>
          <w:szCs w:val="15"/>
          <w:lang w:val="en-US"/>
        </w:rPr>
        <w:t>2021</w:t>
      </w:r>
      <w:r w:rsidR="000D5C0D" w:rsidRPr="000D5C0D">
        <w:rPr>
          <w:rFonts w:ascii="Arial" w:hAnsi="Arial" w:cs="Arial"/>
          <w:sz w:val="15"/>
          <w:szCs w:val="15"/>
          <w:lang w:val="en-US"/>
        </w:rPr>
        <w:t xml:space="preserve">, </w:t>
      </w:r>
      <w:r w:rsidR="000D5C0D" w:rsidRPr="000D5C0D">
        <w:rPr>
          <w:rFonts w:ascii="Arial" w:hAnsi="Arial" w:cs="Arial"/>
          <w:i/>
          <w:iCs/>
          <w:sz w:val="15"/>
          <w:szCs w:val="15"/>
          <w:lang w:val="en-US"/>
        </w:rPr>
        <w:t>39</w:t>
      </w:r>
      <w:r w:rsidR="000D5C0D" w:rsidRPr="000D5C0D">
        <w:rPr>
          <w:rFonts w:ascii="Arial" w:hAnsi="Arial" w:cs="Arial"/>
          <w:sz w:val="15"/>
          <w:szCs w:val="15"/>
          <w:lang w:val="en-US"/>
        </w:rPr>
        <w:t xml:space="preserve"> (6), 063205.</w:t>
      </w:r>
    </w:p>
    <w:p w14:paraId="780025ED" w14:textId="5B4973AD" w:rsidR="005166FE" w:rsidRPr="002E40F1" w:rsidRDefault="005166FE" w:rsidP="000D5C0D">
      <w:pPr>
        <w:pStyle w:val="reference"/>
        <w:rPr>
          <w:rFonts w:ascii="Arial" w:hAnsi="Arial" w:cs="Arial"/>
          <w:sz w:val="15"/>
          <w:szCs w:val="15"/>
          <w:lang w:val="en-GB"/>
        </w:rPr>
      </w:pPr>
      <w:r w:rsidRPr="002E40F1">
        <w:rPr>
          <w:rFonts w:ascii="Arial" w:hAnsi="Arial" w:cs="Arial"/>
          <w:sz w:val="15"/>
          <w:szCs w:val="15"/>
          <w:lang w:val="en-US"/>
        </w:rPr>
        <w:t xml:space="preserve">4.   </w:t>
      </w:r>
      <w:r w:rsidR="003507EB" w:rsidRPr="003507EB">
        <w:rPr>
          <w:rFonts w:ascii="Arial" w:hAnsi="Arial" w:cs="Arial"/>
          <w:sz w:val="15"/>
          <w:szCs w:val="15"/>
          <w:lang w:val="en-US"/>
        </w:rPr>
        <w:t xml:space="preserve">Shchukarev, A. Journal of Electron Spectroscopy and Related Phenomena </w:t>
      </w:r>
      <w:r w:rsidR="003507EB" w:rsidRPr="000D5C0D">
        <w:rPr>
          <w:rFonts w:ascii="Arial" w:hAnsi="Arial" w:cs="Arial"/>
          <w:b/>
          <w:bCs/>
          <w:sz w:val="15"/>
          <w:szCs w:val="15"/>
          <w:lang w:val="en-US"/>
        </w:rPr>
        <w:t>2010</w:t>
      </w:r>
      <w:r w:rsidR="003507EB" w:rsidRPr="003507EB">
        <w:rPr>
          <w:rFonts w:ascii="Arial" w:hAnsi="Arial" w:cs="Arial"/>
          <w:sz w:val="15"/>
          <w:szCs w:val="15"/>
          <w:lang w:val="en-US"/>
        </w:rPr>
        <w:t>, 176 (1–3), 13–17.</w:t>
      </w:r>
    </w:p>
    <w:p w14:paraId="1F2B6C5F" w14:textId="77777777"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0D5C0D"/>
    <w:rsid w:val="002836C1"/>
    <w:rsid w:val="00297F1D"/>
    <w:rsid w:val="002E40F1"/>
    <w:rsid w:val="003507EB"/>
    <w:rsid w:val="00447BE6"/>
    <w:rsid w:val="005166FE"/>
    <w:rsid w:val="005C5EC5"/>
    <w:rsid w:val="0063764B"/>
    <w:rsid w:val="006477D0"/>
    <w:rsid w:val="006848C6"/>
    <w:rsid w:val="007E7378"/>
    <w:rsid w:val="008D4E08"/>
    <w:rsid w:val="0091292E"/>
    <w:rsid w:val="00A01B70"/>
    <w:rsid w:val="00AB1846"/>
    <w:rsid w:val="00B06DCF"/>
    <w:rsid w:val="00CF36A0"/>
    <w:rsid w:val="00D85DE2"/>
    <w:rsid w:val="00DF3681"/>
    <w:rsid w:val="00E30A4A"/>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56631"/>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paragraph" w:styleId="Titre1">
    <w:name w:val="heading 1"/>
    <w:basedOn w:val="Normal"/>
    <w:qFormat/>
    <w:rsid w:val="005166FE"/>
    <w:pPr>
      <w:keepNext/>
      <w:spacing w:before="240" w:after="240"/>
      <w:jc w:val="center"/>
      <w:outlineLvl w:val="0"/>
    </w:pPr>
    <w:rPr>
      <w:b/>
      <w:bCs/>
      <w:caps/>
      <w:kern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6</TotalTime>
  <Pages>1</Pages>
  <Words>504</Words>
  <Characters>2772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The Title Goes Here With Each Initial Letter Capitalized</vt:lpstr>
    </vt:vector>
  </TitlesOfParts>
  <Company>Synchrotron SOLEIL</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Isidoro Lopez Marin</cp:lastModifiedBy>
  <cp:revision>3</cp:revision>
  <cp:lastPrinted>1899-12-31T23:00:00Z</cp:lastPrinted>
  <dcterms:created xsi:type="dcterms:W3CDTF">2026-01-16T11:30:00Z</dcterms:created>
  <dcterms:modified xsi:type="dcterms:W3CDTF">2026-01-16T16:57:00Z</dcterms:modified>
</cp:coreProperties>
</file>