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FD6F" w14:textId="364AF9A8" w:rsidR="005166FE" w:rsidRPr="002E40F1" w:rsidRDefault="00F34148" w:rsidP="002D479C">
      <w:pPr>
        <w:pStyle w:val="papertitle"/>
        <w:rPr>
          <w:rFonts w:ascii="Arial" w:hAnsi="Arial" w:cs="Arial"/>
          <w:lang w:val="en-GB"/>
        </w:rPr>
      </w:pPr>
      <w:bookmarkStart w:id="0" w:name="_Hlk210393682"/>
      <w:bookmarkStart w:id="1" w:name="_Hlk210393698"/>
      <w:r w:rsidRPr="00F34148">
        <w:rPr>
          <w:rFonts w:ascii="Arial" w:hAnsi="Arial" w:cs="Arial"/>
          <w:lang w:val="en-US"/>
        </w:rPr>
        <w:t>Revealing the mechanisms of enhanced Photo</w:t>
      </w:r>
      <w:r>
        <w:rPr>
          <w:rFonts w:ascii="Arial" w:hAnsi="Arial" w:cs="Arial"/>
          <w:lang w:val="en-US"/>
        </w:rPr>
        <w:t>-E</w:t>
      </w:r>
      <w:r w:rsidRPr="00F34148">
        <w:rPr>
          <w:rFonts w:ascii="Arial" w:hAnsi="Arial" w:cs="Arial"/>
          <w:lang w:val="en-US"/>
        </w:rPr>
        <w:t>lectro</w:t>
      </w:r>
      <w:r>
        <w:rPr>
          <w:rFonts w:ascii="Arial" w:hAnsi="Arial" w:cs="Arial"/>
          <w:lang w:val="en-US"/>
        </w:rPr>
        <w:t>c</w:t>
      </w:r>
      <w:r w:rsidRPr="00F34148">
        <w:rPr>
          <w:rFonts w:ascii="Arial" w:hAnsi="Arial" w:cs="Arial"/>
          <w:lang w:val="en-US"/>
        </w:rPr>
        <w:t>atalytic OER performance of Ni doped maghemite via operando XAFS</w:t>
      </w:r>
    </w:p>
    <w:p w14:paraId="545F8109" w14:textId="3063A07A" w:rsidR="005166FE" w:rsidRPr="00F34148" w:rsidRDefault="00F34148" w:rsidP="005166FE">
      <w:pPr>
        <w:pStyle w:val="paperauthor"/>
        <w:rPr>
          <w:rFonts w:ascii="Arial" w:hAnsi="Arial" w:cs="Arial"/>
          <w:lang w:val="it-IT"/>
        </w:rPr>
      </w:pPr>
      <w:r w:rsidRPr="00F34148">
        <w:rPr>
          <w:rFonts w:ascii="Arial" w:hAnsi="Arial" w:cs="Arial"/>
          <w:u w:val="single"/>
          <w:lang w:val="it-IT"/>
        </w:rPr>
        <w:t>Francesco Paparoni</w:t>
      </w:r>
      <w:r w:rsidR="00AB158A">
        <w:rPr>
          <w:rFonts w:ascii="Arial" w:hAnsi="Arial" w:cs="Arial"/>
          <w:u w:val="single"/>
          <w:vertAlign w:val="superscript"/>
          <w:lang w:val="it-IT"/>
        </w:rPr>
        <w:t>1</w:t>
      </w:r>
      <w:r w:rsidRPr="00F34148">
        <w:rPr>
          <w:rFonts w:ascii="Arial" w:hAnsi="Arial" w:cs="Arial"/>
          <w:lang w:val="it-IT"/>
        </w:rPr>
        <w:t>, Helene M</w:t>
      </w:r>
      <w:r>
        <w:rPr>
          <w:rFonts w:ascii="Arial" w:hAnsi="Arial" w:cs="Arial"/>
          <w:lang w:val="it-IT"/>
        </w:rPr>
        <w:t>agnan</w:t>
      </w:r>
      <w:r w:rsidR="00AB158A">
        <w:rPr>
          <w:rFonts w:ascii="Arial" w:hAnsi="Arial" w:cs="Arial"/>
          <w:vertAlign w:val="superscript"/>
          <w:lang w:val="it-IT"/>
        </w:rPr>
        <w:t>1</w:t>
      </w:r>
      <w:r w:rsidR="005166FE" w:rsidRPr="00F34148">
        <w:rPr>
          <w:rFonts w:ascii="Arial" w:hAnsi="Arial" w:cs="Arial"/>
          <w:lang w:val="it-IT"/>
        </w:rPr>
        <w:t xml:space="preserve"> and </w:t>
      </w:r>
      <w:r w:rsidRPr="00F34148">
        <w:rPr>
          <w:rFonts w:ascii="Arial" w:hAnsi="Arial" w:cs="Arial"/>
          <w:lang w:val="it-IT"/>
        </w:rPr>
        <w:t>Emiliano Fonda</w:t>
      </w:r>
      <w:r w:rsidR="00AB158A">
        <w:rPr>
          <w:rFonts w:ascii="Arial" w:hAnsi="Arial" w:cs="Arial"/>
          <w:vertAlign w:val="superscript"/>
          <w:lang w:val="it-IT"/>
        </w:rPr>
        <w:t>2</w:t>
      </w:r>
    </w:p>
    <w:p w14:paraId="6046B02D" w14:textId="77777777" w:rsidR="00AB158A" w:rsidRDefault="00AB158A" w:rsidP="002D479C">
      <w:pPr>
        <w:pStyle w:val="Titolo1"/>
        <w:spacing w:after="0"/>
        <w:jc w:val="left"/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  <w:lang w:val="it-IT"/>
        </w:rPr>
      </w:pPr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  <w:vertAlign w:val="superscript"/>
          <w:lang w:val="it-IT"/>
        </w:rPr>
        <w:t>1</w:t>
      </w:r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  <w:lang w:val="it-IT"/>
        </w:rPr>
        <w:t xml:space="preserve">Synchrotron SOLEIL, </w:t>
      </w:r>
      <w:proofErr w:type="spellStart"/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  <w:lang w:val="it-IT"/>
        </w:rPr>
        <w:t>L’Orme</w:t>
      </w:r>
      <w:proofErr w:type="spellEnd"/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  <w:lang w:val="it-IT"/>
        </w:rPr>
        <w:t xml:space="preserve"> </w:t>
      </w:r>
      <w:proofErr w:type="spellStart"/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  <w:lang w:val="it-IT"/>
        </w:rPr>
        <w:t>des</w:t>
      </w:r>
      <w:proofErr w:type="spellEnd"/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  <w:lang w:val="it-IT"/>
        </w:rPr>
        <w:t xml:space="preserve"> </w:t>
      </w:r>
      <w:proofErr w:type="spellStart"/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  <w:lang w:val="it-IT"/>
        </w:rPr>
        <w:t>Merisiers</w:t>
      </w:r>
      <w:proofErr w:type="spellEnd"/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  <w:lang w:val="it-IT"/>
        </w:rPr>
        <w:t>, BP48 Saint Aubin, 91190 Gif-sur-Yvette, France</w:t>
      </w:r>
    </w:p>
    <w:p w14:paraId="15DBFAE5" w14:textId="09BEC05C" w:rsidR="005166FE" w:rsidRPr="00AB158A" w:rsidRDefault="00AB158A" w:rsidP="002D479C">
      <w:pPr>
        <w:pStyle w:val="Titolo1"/>
        <w:spacing w:before="0"/>
        <w:jc w:val="left"/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</w:pPr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  <w:vertAlign w:val="superscript"/>
        </w:rPr>
        <w:t>2</w:t>
      </w:r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>Universit</w:t>
      </w:r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>é</w:t>
      </w:r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 xml:space="preserve"> Paris-Saclay, CEA, CNRS, Service de Physique de l’Etat Condens</w:t>
      </w:r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>é</w:t>
      </w:r>
      <w:r w:rsidRPr="00AB158A">
        <w:rPr>
          <w:rFonts w:ascii="Arial" w:hAnsi="Arial" w:cs="Arial"/>
          <w:b w:val="0"/>
          <w:bCs w:val="0"/>
          <w:i/>
          <w:iCs/>
          <w:caps w:val="0"/>
          <w:kern w:val="0"/>
          <w:sz w:val="20"/>
          <w:szCs w:val="20"/>
        </w:rPr>
        <w:t>, F-91191 Gif-sur-Yvette, France</w:t>
      </w:r>
    </w:p>
    <w:p w14:paraId="0EF7B055" w14:textId="2F4004F8" w:rsidR="00733023" w:rsidRPr="00733023" w:rsidRDefault="00AB158A" w:rsidP="00733023">
      <w:pPr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2D479C">
        <w:rPr>
          <w:rFonts w:ascii="Arial" w:eastAsia="Calibri" w:hAnsi="Arial" w:cs="Arial"/>
          <w:sz w:val="22"/>
          <w:szCs w:val="22"/>
          <w:lang w:val="en-US"/>
        </w:rPr>
        <w:t>Hydrogen is one of the most promising green energy carriers. H</w:t>
      </w:r>
      <w:r w:rsidRPr="002D479C">
        <w:rPr>
          <w:rFonts w:ascii="Arial" w:eastAsia="Calibri" w:hAnsi="Arial" w:cs="Arial"/>
          <w:sz w:val="22"/>
          <w:szCs w:val="22"/>
          <w:vertAlign w:val="subscript"/>
          <w:lang w:val="en-US"/>
        </w:rPr>
        <w:t>2</w:t>
      </w:r>
      <w:r w:rsidRPr="002D479C">
        <w:rPr>
          <w:rFonts w:ascii="Arial" w:eastAsia="Calibri" w:hAnsi="Arial" w:cs="Arial"/>
          <w:sz w:val="22"/>
          <w:szCs w:val="22"/>
          <w:lang w:val="en-US"/>
        </w:rPr>
        <w:t xml:space="preserve"> can be produced without greenhouse gas emission via renewable energy-fueled electrolysis</w:t>
      </w:r>
      <w:r w:rsidR="002D479C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2D479C" w:rsidRPr="002D479C">
        <w:rPr>
          <w:rFonts w:ascii="Arial" w:eastAsia="Calibri" w:hAnsi="Arial" w:cs="Arial"/>
          <w:sz w:val="22"/>
          <w:szCs w:val="22"/>
          <w:lang w:val="en-US"/>
        </w:rPr>
        <w:t>[1]</w:t>
      </w:r>
      <w:r w:rsidRPr="002D479C">
        <w:rPr>
          <w:rFonts w:ascii="Arial" w:eastAsia="Calibri" w:hAnsi="Arial" w:cs="Arial"/>
          <w:sz w:val="22"/>
          <w:szCs w:val="22"/>
          <w:lang w:val="en-US"/>
        </w:rPr>
        <w:t>.</w:t>
      </w:r>
      <w:r w:rsidR="002D479C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733023">
        <w:rPr>
          <w:rFonts w:ascii="Arial" w:eastAsia="Calibri" w:hAnsi="Arial" w:cs="Arial"/>
          <w:sz w:val="22"/>
          <w:szCs w:val="22"/>
          <w:lang w:val="en-US"/>
        </w:rPr>
        <w:t>S</w:t>
      </w:r>
      <w:r w:rsidR="00733023" w:rsidRPr="00733023">
        <w:rPr>
          <w:rFonts w:ascii="Arial" w:eastAsia="Calibri" w:hAnsi="Arial" w:cs="Arial"/>
          <w:sz w:val="22"/>
          <w:szCs w:val="22"/>
          <w:lang w:val="en-US"/>
        </w:rPr>
        <w:t>olar energy stands out as the most abundant renewable energy</w:t>
      </w:r>
      <w:r w:rsidR="00733023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733023" w:rsidRPr="00733023">
        <w:rPr>
          <w:rFonts w:ascii="Arial" w:eastAsia="Calibri" w:hAnsi="Arial" w:cs="Arial"/>
          <w:sz w:val="22"/>
          <w:szCs w:val="22"/>
          <w:lang w:val="en-US"/>
        </w:rPr>
        <w:t>source on Earth</w:t>
      </w:r>
      <w:r w:rsidR="00733023">
        <w:rPr>
          <w:rFonts w:ascii="Arial" w:eastAsia="Calibri" w:hAnsi="Arial" w:cs="Arial"/>
          <w:sz w:val="22"/>
          <w:szCs w:val="22"/>
          <w:lang w:val="en-US"/>
        </w:rPr>
        <w:t xml:space="preserve">, and can be </w:t>
      </w:r>
      <w:r w:rsidR="00733023" w:rsidRPr="00733023">
        <w:rPr>
          <w:rFonts w:ascii="Arial" w:eastAsia="Calibri" w:hAnsi="Arial" w:cs="Arial"/>
          <w:sz w:val="22"/>
          <w:szCs w:val="22"/>
          <w:lang w:val="en-US"/>
        </w:rPr>
        <w:t>exploited to fuel electrolysis through a photovoltaic panel. However, a direct solar-to-chemical energy</w:t>
      </w:r>
    </w:p>
    <w:p w14:paraId="541DFE75" w14:textId="3CC34E11" w:rsidR="00F11E97" w:rsidRPr="00F11E97" w:rsidRDefault="00733023" w:rsidP="00F11E97">
      <w:pPr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733023">
        <w:rPr>
          <w:rFonts w:ascii="Arial" w:eastAsia="Calibri" w:hAnsi="Arial" w:cs="Arial"/>
          <w:sz w:val="22"/>
          <w:szCs w:val="22"/>
          <w:lang w:val="en-US"/>
        </w:rPr>
        <w:t>conversion is an attractive possibility, allowing device simplification and limiting intermediate losses [</w:t>
      </w:r>
      <w:r>
        <w:rPr>
          <w:rFonts w:ascii="Arial" w:eastAsia="Calibri" w:hAnsi="Arial" w:cs="Arial"/>
          <w:sz w:val="22"/>
          <w:szCs w:val="22"/>
          <w:lang w:val="en-US"/>
        </w:rPr>
        <w:t>2</w:t>
      </w:r>
      <w:r w:rsidRPr="00733023">
        <w:rPr>
          <w:rFonts w:ascii="Arial" w:eastAsia="Calibri" w:hAnsi="Arial" w:cs="Arial"/>
          <w:sz w:val="22"/>
          <w:szCs w:val="22"/>
          <w:lang w:val="en-US"/>
        </w:rPr>
        <w:t>]. This can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Pr="00733023">
        <w:rPr>
          <w:rFonts w:ascii="Arial" w:eastAsia="Calibri" w:hAnsi="Arial" w:cs="Arial"/>
          <w:sz w:val="22"/>
          <w:szCs w:val="22"/>
          <w:lang w:val="en-US"/>
        </w:rPr>
        <w:t>be accomplished in photoelectrochemical (PEC) cells</w:t>
      </w:r>
      <w:r>
        <w:rPr>
          <w:rFonts w:ascii="Arial" w:eastAsia="Calibri" w:hAnsi="Arial" w:cs="Arial"/>
          <w:sz w:val="22"/>
          <w:szCs w:val="22"/>
          <w:lang w:val="en-US"/>
        </w:rPr>
        <w:t>, where the e</w:t>
      </w:r>
      <w:r>
        <w:rPr>
          <w:rFonts w:ascii="Arial" w:eastAsia="Calibri" w:hAnsi="Arial" w:cs="Arial"/>
          <w:sz w:val="22"/>
          <w:szCs w:val="22"/>
          <w:vertAlign w:val="superscript"/>
          <w:lang w:val="en-US"/>
        </w:rPr>
        <w:t>-</w:t>
      </w:r>
      <w:r>
        <w:rPr>
          <w:rFonts w:ascii="Arial" w:eastAsia="Calibri" w:hAnsi="Arial" w:cs="Arial"/>
          <w:sz w:val="22"/>
          <w:szCs w:val="22"/>
          <w:lang w:val="en-US"/>
        </w:rPr>
        <w:t>/h</w:t>
      </w:r>
      <w:r>
        <w:rPr>
          <w:rFonts w:ascii="Arial" w:eastAsia="Calibri" w:hAnsi="Arial" w:cs="Arial"/>
          <w:sz w:val="22"/>
          <w:szCs w:val="22"/>
          <w:vertAlign w:val="superscript"/>
          <w:lang w:val="en-US"/>
        </w:rPr>
        <w:t xml:space="preserve">+ </w:t>
      </w:r>
      <w:r>
        <w:rPr>
          <w:rFonts w:ascii="Arial" w:eastAsia="Calibri" w:hAnsi="Arial" w:cs="Arial"/>
          <w:sz w:val="22"/>
          <w:szCs w:val="22"/>
          <w:lang w:val="en-US"/>
        </w:rPr>
        <w:t>pairs formed upon light absorption on the photoelectrode are injected into the electrolyte</w:t>
      </w:r>
      <w:r w:rsidR="007C0DD7">
        <w:rPr>
          <w:rFonts w:ascii="Arial" w:eastAsia="Calibri" w:hAnsi="Arial" w:cs="Arial"/>
          <w:sz w:val="22"/>
          <w:szCs w:val="22"/>
          <w:lang w:val="en-US"/>
        </w:rPr>
        <w:t>,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promoting water redox reactions. </w:t>
      </w:r>
      <w:r w:rsidR="00F11E97" w:rsidRPr="00F11E97">
        <w:rPr>
          <w:rFonts w:ascii="Arial" w:eastAsia="Calibri" w:hAnsi="Arial" w:cs="Arial"/>
          <w:sz w:val="22"/>
          <w:szCs w:val="22"/>
          <w:lang w:val="en-US"/>
        </w:rPr>
        <w:t>Despite their currently low STH conversion efficiency, PEC cells represent a young technology with</w:t>
      </w:r>
      <w:r w:rsidR="00F11E9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F11E97" w:rsidRPr="00F11E97">
        <w:rPr>
          <w:rFonts w:ascii="Arial" w:eastAsia="Calibri" w:hAnsi="Arial" w:cs="Arial"/>
          <w:sz w:val="22"/>
          <w:szCs w:val="22"/>
          <w:lang w:val="en-US"/>
        </w:rPr>
        <w:t>substantial room for development. Most of the efforts are currently focusing on the oxygen evolution reaction (OER)</w:t>
      </w:r>
      <w:r w:rsidR="00F11E9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F11E97" w:rsidRPr="00F11E97">
        <w:rPr>
          <w:rFonts w:ascii="Arial" w:eastAsia="Calibri" w:hAnsi="Arial" w:cs="Arial"/>
          <w:sz w:val="22"/>
          <w:szCs w:val="22"/>
          <w:lang w:val="en-US"/>
        </w:rPr>
        <w:t>catalysis, which, due to its complex four-step electron transfer mechanism, is commonly regarded as the bottleneck of</w:t>
      </w:r>
    </w:p>
    <w:p w14:paraId="2BCE6ADA" w14:textId="77777777" w:rsidR="007E4952" w:rsidRDefault="00F11E97" w:rsidP="00057E69">
      <w:pPr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F11E97">
        <w:rPr>
          <w:rFonts w:ascii="Arial" w:eastAsia="Calibri" w:hAnsi="Arial" w:cs="Arial"/>
          <w:sz w:val="22"/>
          <w:szCs w:val="22"/>
          <w:lang w:val="en-US"/>
        </w:rPr>
        <w:t>electrochemical technologies</w:t>
      </w:r>
      <w:r w:rsidR="007E4952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en-US"/>
        </w:rPr>
        <w:t>[3]. M</w:t>
      </w:r>
      <w:r w:rsidRPr="00F11E97">
        <w:rPr>
          <w:rFonts w:ascii="Arial" w:eastAsia="Calibri" w:hAnsi="Arial" w:cs="Arial"/>
          <w:sz w:val="22"/>
          <w:szCs w:val="22"/>
          <w:lang w:val="en-US"/>
        </w:rPr>
        <w:t>aghemite (γ-Fe</w:t>
      </w:r>
      <w:r w:rsidRPr="00F11E97">
        <w:rPr>
          <w:rFonts w:ascii="Arial" w:eastAsia="Calibri" w:hAnsi="Arial" w:cs="Arial"/>
          <w:sz w:val="22"/>
          <w:szCs w:val="22"/>
          <w:vertAlign w:val="subscript"/>
          <w:lang w:val="en-US"/>
        </w:rPr>
        <w:t>2</w:t>
      </w:r>
      <w:r w:rsidRPr="00F11E97">
        <w:rPr>
          <w:rFonts w:ascii="Arial" w:eastAsia="Calibri" w:hAnsi="Arial" w:cs="Arial"/>
          <w:sz w:val="22"/>
          <w:szCs w:val="22"/>
          <w:lang w:val="en-US"/>
        </w:rPr>
        <w:t>O</w:t>
      </w:r>
      <w:r w:rsidRPr="00F11E97">
        <w:rPr>
          <w:rFonts w:ascii="Arial" w:eastAsia="Calibri" w:hAnsi="Arial" w:cs="Arial"/>
          <w:sz w:val="22"/>
          <w:szCs w:val="22"/>
          <w:vertAlign w:val="subscript"/>
          <w:lang w:val="en-US"/>
        </w:rPr>
        <w:t>3</w:t>
      </w:r>
      <w:r w:rsidRPr="00F11E97">
        <w:rPr>
          <w:rFonts w:ascii="Arial" w:eastAsia="Calibri" w:hAnsi="Arial" w:cs="Arial"/>
          <w:sz w:val="22"/>
          <w:szCs w:val="22"/>
          <w:lang w:val="en-US"/>
        </w:rPr>
        <w:t>),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is a promising</w:t>
      </w:r>
      <w:r w:rsidR="008A0FE8">
        <w:rPr>
          <w:rFonts w:ascii="Arial" w:eastAsia="Calibri" w:hAnsi="Arial" w:cs="Arial"/>
          <w:sz w:val="22"/>
          <w:szCs w:val="22"/>
          <w:lang w:val="en-US"/>
        </w:rPr>
        <w:t>, cost-effective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photoanode material in this matter, given its optimal </w:t>
      </w:r>
      <w:r w:rsidRPr="00F11E97">
        <w:rPr>
          <w:rFonts w:ascii="Arial" w:eastAsia="Calibri" w:hAnsi="Arial" w:cs="Arial"/>
          <w:sz w:val="22"/>
          <w:szCs w:val="22"/>
          <w:lang w:val="en-US"/>
        </w:rPr>
        <w:t>band gap (2 - 2.2 eV</w:t>
      </w:r>
      <w:r>
        <w:rPr>
          <w:rFonts w:ascii="Arial" w:eastAsia="Calibri" w:hAnsi="Arial" w:cs="Arial"/>
          <w:sz w:val="22"/>
          <w:szCs w:val="22"/>
          <w:lang w:val="en-US"/>
        </w:rPr>
        <w:t>). Despite being less known th</w:t>
      </w:r>
      <w:r w:rsidR="007C0DD7">
        <w:rPr>
          <w:rFonts w:ascii="Arial" w:eastAsia="Calibri" w:hAnsi="Arial" w:cs="Arial"/>
          <w:sz w:val="22"/>
          <w:szCs w:val="22"/>
          <w:lang w:val="en-US"/>
        </w:rPr>
        <w:t>a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n its polymorph </w:t>
      </w:r>
      <w:r w:rsidR="008A0FE8">
        <w:rPr>
          <w:rFonts w:ascii="Arial" w:eastAsia="Calibri" w:hAnsi="Arial" w:cs="Arial"/>
          <w:sz w:val="22"/>
          <w:szCs w:val="22"/>
          <w:lang w:val="en-US"/>
        </w:rPr>
        <w:t>h</w:t>
      </w:r>
      <w:r>
        <w:rPr>
          <w:rFonts w:ascii="Arial" w:eastAsia="Calibri" w:hAnsi="Arial" w:cs="Arial"/>
          <w:sz w:val="22"/>
          <w:szCs w:val="22"/>
          <w:lang w:val="en-US"/>
        </w:rPr>
        <w:t>ematite, th</w:t>
      </w:r>
      <w:r w:rsidR="008A0FE8">
        <w:rPr>
          <w:rFonts w:ascii="Arial" w:eastAsia="Calibri" w:hAnsi="Arial" w:cs="Arial"/>
          <w:sz w:val="22"/>
          <w:szCs w:val="22"/>
          <w:lang w:val="en-US"/>
        </w:rPr>
        <w:t>e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cubic spinel phase </w:t>
      </w:r>
      <w:r w:rsidRPr="00F11E97">
        <w:rPr>
          <w:rFonts w:ascii="Arial" w:eastAsia="Calibri" w:hAnsi="Arial" w:cs="Arial"/>
          <w:sz w:val="22"/>
          <w:szCs w:val="22"/>
          <w:lang w:val="en-US"/>
        </w:rPr>
        <w:t xml:space="preserve">offers a higher conductivity and a versatile structure that allows dual-site catalytic activity and a more facile and stable adjustment of composition by doping. </w:t>
      </w:r>
      <w:r>
        <w:rPr>
          <w:rFonts w:ascii="Arial" w:eastAsia="Calibri" w:hAnsi="Arial" w:cs="Arial"/>
          <w:sz w:val="22"/>
          <w:szCs w:val="22"/>
          <w:lang w:val="en-US"/>
        </w:rPr>
        <w:t>However,</w:t>
      </w:r>
      <w:r w:rsidR="008A0FE8">
        <w:rPr>
          <w:rFonts w:ascii="Arial" w:eastAsia="Calibri" w:hAnsi="Arial" w:cs="Arial"/>
          <w:sz w:val="22"/>
          <w:szCs w:val="22"/>
          <w:lang w:val="en-US"/>
        </w:rPr>
        <w:t xml:space="preserve"> PEC performance tuning via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dopin</w:t>
      </w:r>
      <w:r w:rsidR="008A0FE8">
        <w:rPr>
          <w:rFonts w:ascii="Arial" w:eastAsia="Calibri" w:hAnsi="Arial" w:cs="Arial"/>
          <w:sz w:val="22"/>
          <w:szCs w:val="22"/>
          <w:lang w:val="en-US"/>
        </w:rPr>
        <w:t>g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passes through </w:t>
      </w:r>
      <w:r w:rsidR="007C0DD7">
        <w:rPr>
          <w:rFonts w:ascii="Arial" w:eastAsia="Calibri" w:hAnsi="Arial" w:cs="Arial"/>
          <w:sz w:val="22"/>
          <w:szCs w:val="22"/>
          <w:lang w:val="en-US"/>
        </w:rPr>
        <w:t>the understanding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7C0DD7">
        <w:rPr>
          <w:rFonts w:ascii="Arial" w:eastAsia="Calibri" w:hAnsi="Arial" w:cs="Arial"/>
          <w:sz w:val="22"/>
          <w:szCs w:val="22"/>
          <w:lang w:val="en-US"/>
        </w:rPr>
        <w:t xml:space="preserve">of </w:t>
      </w:r>
      <w:r>
        <w:rPr>
          <w:rFonts w:ascii="Arial" w:eastAsia="Calibri" w:hAnsi="Arial" w:cs="Arial"/>
          <w:sz w:val="22"/>
          <w:szCs w:val="22"/>
          <w:lang w:val="en-US"/>
        </w:rPr>
        <w:t>the photocatalytic mechanism under</w:t>
      </w:r>
      <w:r w:rsidRPr="00F11E97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 operando </w:t>
      </w:r>
      <w:r w:rsidR="008A0FE8">
        <w:rPr>
          <w:rFonts w:ascii="Arial" w:eastAsia="Calibri" w:hAnsi="Arial" w:cs="Arial"/>
          <w:sz w:val="22"/>
          <w:szCs w:val="22"/>
          <w:lang w:val="en-US"/>
        </w:rPr>
        <w:t xml:space="preserve">conditions. </w:t>
      </w:r>
      <w:r w:rsidR="007E4952" w:rsidRPr="007E4952">
        <w:rPr>
          <w:rFonts w:ascii="Arial" w:eastAsia="Calibri" w:hAnsi="Arial" w:cs="Arial"/>
          <w:sz w:val="22"/>
          <w:szCs w:val="22"/>
          <w:lang w:val="en-US"/>
        </w:rPr>
        <w:t xml:space="preserve">In this matter, a special importance must be assigned to the catalyst/electrolyte interface, where reactant intermediates form. </w:t>
      </w:r>
    </w:p>
    <w:p w14:paraId="36BFADD0" w14:textId="7D3BE4D1" w:rsidR="005166FE" w:rsidRPr="002D479C" w:rsidRDefault="009F04C6" w:rsidP="00057E69">
      <w:pPr>
        <w:jc w:val="both"/>
        <w:rPr>
          <w:rFonts w:ascii="Arial" w:eastAsia="Calibri" w:hAnsi="Arial" w:cs="Arial"/>
          <w:sz w:val="22"/>
          <w:szCs w:val="22"/>
          <w:lang w:val="en-US"/>
        </w:rPr>
      </w:pPr>
      <w:r>
        <w:rPr>
          <w:rFonts w:ascii="Arial" w:eastAsia="Calibri" w:hAnsi="Arial" w:cs="Arial"/>
          <w:sz w:val="22"/>
          <w:szCs w:val="22"/>
          <w:lang w:val="en-US"/>
        </w:rPr>
        <w:t xml:space="preserve">To this end, at the SAMBA beamline we developed an electrochemical cell to perform </w:t>
      </w:r>
      <w:r>
        <w:rPr>
          <w:rFonts w:ascii="Arial" w:eastAsia="Calibri" w:hAnsi="Arial" w:cs="Arial"/>
          <w:i/>
          <w:iCs/>
          <w:sz w:val="22"/>
          <w:szCs w:val="22"/>
          <w:lang w:val="en-US"/>
        </w:rPr>
        <w:t>operando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 XAS compatible with samples on X-ray opaque supports, since the sample is probed from the electrolyte side [4].</w:t>
      </w:r>
      <w:r w:rsidR="00057E69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7E4952" w:rsidRPr="007E4952">
        <w:rPr>
          <w:rFonts w:ascii="Arial" w:eastAsia="Calibri" w:hAnsi="Arial" w:cs="Arial"/>
          <w:sz w:val="22"/>
          <w:szCs w:val="22"/>
          <w:lang w:val="en-US"/>
        </w:rPr>
        <w:t>Compared to other cells working with similar geometry, ours allows for the collection of high-quality XAS data in fluorescence mode even at a lower energy range (down to the Ti K-edge).</w:t>
      </w:r>
      <w:r w:rsidR="007E4952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Moreover, to unravel the </w:t>
      </w:r>
      <w:r w:rsidRPr="002D479C">
        <w:rPr>
          <w:rFonts w:ascii="Arial" w:eastAsia="Calibri" w:hAnsi="Arial" w:cs="Arial"/>
          <w:sz w:val="22"/>
          <w:szCs w:val="22"/>
          <w:lang w:val="en-US"/>
        </w:rPr>
        <w:t xml:space="preserve">tiny surface-bound 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electronic effects resulting from reactant intermediates formation, a setup was developed to perform </w:t>
      </w:r>
      <w:r w:rsidR="007E4952">
        <w:rPr>
          <w:rFonts w:ascii="Arial" w:eastAsia="Calibri" w:hAnsi="Arial" w:cs="Arial"/>
          <w:sz w:val="22"/>
          <w:szCs w:val="22"/>
          <w:lang w:val="en-US"/>
        </w:rPr>
        <w:t>F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ixed </w:t>
      </w:r>
      <w:r w:rsidR="007E4952">
        <w:rPr>
          <w:rFonts w:ascii="Arial" w:eastAsia="Calibri" w:hAnsi="Arial" w:cs="Arial"/>
          <w:sz w:val="22"/>
          <w:szCs w:val="22"/>
          <w:lang w:val="en-US"/>
        </w:rPr>
        <w:t>E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nergy </w:t>
      </w:r>
      <w:r w:rsidR="007E4952">
        <w:rPr>
          <w:rFonts w:ascii="Arial" w:eastAsia="Calibri" w:hAnsi="Arial" w:cs="Arial"/>
          <w:sz w:val="22"/>
          <w:szCs w:val="22"/>
          <w:lang w:val="en-US"/>
        </w:rPr>
        <w:t>X</w:t>
      </w:r>
      <w:r>
        <w:rPr>
          <w:rFonts w:ascii="Arial" w:eastAsia="Calibri" w:hAnsi="Arial" w:cs="Arial"/>
          <w:sz w:val="22"/>
          <w:szCs w:val="22"/>
          <w:lang w:val="en-US"/>
        </w:rPr>
        <w:t>-</w:t>
      </w:r>
      <w:r w:rsidR="007E4952">
        <w:rPr>
          <w:rFonts w:ascii="Arial" w:eastAsia="Calibri" w:hAnsi="Arial" w:cs="Arial"/>
          <w:sz w:val="22"/>
          <w:szCs w:val="22"/>
          <w:lang w:val="en-US"/>
        </w:rPr>
        <w:t>R</w:t>
      </w:r>
      <w:r>
        <w:rPr>
          <w:rFonts w:ascii="Arial" w:eastAsia="Calibri" w:hAnsi="Arial" w:cs="Arial"/>
          <w:sz w:val="22"/>
          <w:szCs w:val="22"/>
          <w:lang w:val="en-US"/>
        </w:rPr>
        <w:t xml:space="preserve">ay absorption under chopped light illumination (FEXRAP). </w:t>
      </w:r>
      <w:r w:rsidR="00057E69">
        <w:rPr>
          <w:rFonts w:ascii="Arial" w:eastAsia="Calibri" w:hAnsi="Arial" w:cs="Arial"/>
          <w:sz w:val="22"/>
          <w:szCs w:val="22"/>
          <w:lang w:val="en-US"/>
        </w:rPr>
        <w:t xml:space="preserve">Combining </w:t>
      </w:r>
      <w:r w:rsidR="00057E69">
        <w:rPr>
          <w:rFonts w:ascii="Arial" w:eastAsia="Calibri" w:hAnsi="Arial" w:cs="Arial"/>
          <w:i/>
          <w:iCs/>
          <w:sz w:val="22"/>
          <w:szCs w:val="22"/>
          <w:lang w:val="en-US"/>
        </w:rPr>
        <w:t>operando</w:t>
      </w:r>
      <w:r w:rsidR="00057E69">
        <w:rPr>
          <w:rFonts w:ascii="Arial" w:eastAsia="Calibri" w:hAnsi="Arial" w:cs="Arial"/>
          <w:sz w:val="22"/>
          <w:szCs w:val="22"/>
          <w:lang w:val="en-US"/>
        </w:rPr>
        <w:t xml:space="preserve"> XAS investigations with conventional electrochemical and electronic analysis, w</w:t>
      </w:r>
      <w:r w:rsidR="00AB158A" w:rsidRPr="002D479C">
        <w:rPr>
          <w:rFonts w:ascii="Arial" w:eastAsia="Calibri" w:hAnsi="Arial" w:cs="Arial"/>
          <w:sz w:val="22"/>
          <w:szCs w:val="22"/>
          <w:lang w:val="en-US"/>
        </w:rPr>
        <w:t>e wil</w:t>
      </w:r>
      <w:r w:rsidR="00057E69">
        <w:rPr>
          <w:rFonts w:ascii="Arial" w:eastAsia="Calibri" w:hAnsi="Arial" w:cs="Arial"/>
          <w:sz w:val="22"/>
          <w:szCs w:val="22"/>
          <w:lang w:val="en-US"/>
        </w:rPr>
        <w:t>l describe the</w:t>
      </w:r>
      <w:r w:rsidR="00AB158A" w:rsidRPr="002D479C">
        <w:rPr>
          <w:rFonts w:ascii="Arial" w:eastAsia="Calibri" w:hAnsi="Arial" w:cs="Arial"/>
          <w:sz w:val="22"/>
          <w:szCs w:val="22"/>
          <w:lang w:val="en-US"/>
        </w:rPr>
        <w:t xml:space="preserve"> photoanodic performances</w:t>
      </w:r>
      <w:r w:rsidR="00057E69">
        <w:rPr>
          <w:rFonts w:ascii="Arial" w:eastAsia="Calibri" w:hAnsi="Arial" w:cs="Arial"/>
          <w:sz w:val="22"/>
          <w:szCs w:val="22"/>
          <w:lang w:val="en-US"/>
        </w:rPr>
        <w:t xml:space="preserve"> and relative catalytic mechanism</w:t>
      </w:r>
      <w:r w:rsidR="00AB158A" w:rsidRPr="002D479C">
        <w:rPr>
          <w:rFonts w:ascii="Arial" w:eastAsia="Calibri" w:hAnsi="Arial" w:cs="Arial"/>
          <w:sz w:val="22"/>
          <w:szCs w:val="22"/>
          <w:lang w:val="en-US"/>
        </w:rPr>
        <w:t xml:space="preserve"> o</w:t>
      </w:r>
      <w:r w:rsidR="00057E69">
        <w:rPr>
          <w:rFonts w:ascii="Arial" w:eastAsia="Calibri" w:hAnsi="Arial" w:cs="Arial"/>
          <w:sz w:val="22"/>
          <w:szCs w:val="22"/>
          <w:lang w:val="en-US"/>
        </w:rPr>
        <w:t>f</w:t>
      </w:r>
      <w:r w:rsidR="00AB158A" w:rsidRPr="002D479C">
        <w:rPr>
          <w:rFonts w:ascii="Arial" w:eastAsia="Calibri" w:hAnsi="Arial" w:cs="Arial"/>
          <w:sz w:val="22"/>
          <w:szCs w:val="22"/>
          <w:lang w:val="en-US"/>
        </w:rPr>
        <w:t xml:space="preserve"> Ni-doped γ-Fe</w:t>
      </w:r>
      <w:r w:rsidR="00AB158A" w:rsidRPr="002D479C">
        <w:rPr>
          <w:rFonts w:ascii="Arial" w:eastAsia="Calibri" w:hAnsi="Arial" w:cs="Arial"/>
          <w:sz w:val="22"/>
          <w:szCs w:val="22"/>
          <w:vertAlign w:val="subscript"/>
          <w:lang w:val="en-US"/>
        </w:rPr>
        <w:t>2</w:t>
      </w:r>
      <w:r w:rsidR="00AB158A" w:rsidRPr="002D479C">
        <w:rPr>
          <w:rFonts w:ascii="Arial" w:eastAsia="Calibri" w:hAnsi="Arial" w:cs="Arial"/>
          <w:sz w:val="22"/>
          <w:szCs w:val="22"/>
          <w:lang w:val="en-US"/>
        </w:rPr>
        <w:t>O</w:t>
      </w:r>
      <w:r w:rsidR="00AB158A" w:rsidRPr="002D479C">
        <w:rPr>
          <w:rFonts w:ascii="Arial" w:eastAsia="Calibri" w:hAnsi="Arial" w:cs="Arial"/>
          <w:sz w:val="22"/>
          <w:szCs w:val="22"/>
          <w:vertAlign w:val="subscript"/>
          <w:lang w:val="en-US"/>
        </w:rPr>
        <w:t>3</w:t>
      </w:r>
      <w:r w:rsidR="00AB158A" w:rsidRPr="002D479C">
        <w:rPr>
          <w:rFonts w:ascii="Arial" w:eastAsia="Calibri" w:hAnsi="Arial" w:cs="Arial"/>
          <w:sz w:val="22"/>
          <w:szCs w:val="22"/>
          <w:lang w:val="en-US"/>
        </w:rPr>
        <w:t xml:space="preserve"> films (111) epitaxially grown on Pt (001) single crystal.</w:t>
      </w:r>
      <w:r w:rsidR="00057E69">
        <w:rPr>
          <w:rFonts w:ascii="Arial" w:eastAsia="Calibri" w:hAnsi="Arial" w:cs="Arial"/>
          <w:sz w:val="22"/>
          <w:szCs w:val="22"/>
          <w:lang w:val="en-US"/>
        </w:rPr>
        <w:t xml:space="preserve"> We will show how Ni ions </w:t>
      </w:r>
      <w:r w:rsidR="007E4952">
        <w:rPr>
          <w:rFonts w:ascii="Arial" w:eastAsia="Calibri" w:hAnsi="Arial" w:cs="Arial"/>
          <w:sz w:val="22"/>
          <w:szCs w:val="22"/>
          <w:lang w:val="en-US"/>
        </w:rPr>
        <w:t>modify</w:t>
      </w:r>
      <w:r w:rsidR="00057E69">
        <w:rPr>
          <w:rFonts w:ascii="Arial" w:eastAsia="Calibri" w:hAnsi="Arial" w:cs="Arial"/>
          <w:sz w:val="22"/>
          <w:szCs w:val="22"/>
          <w:lang w:val="en-US"/>
        </w:rPr>
        <w:t xml:space="preserve"> the material local structure and electronic configuration, and how such modulations impact the photoanodic performances for solar OER as a function of the Ni concentration.</w:t>
      </w:r>
      <w:r w:rsidR="00AB158A" w:rsidRPr="002D479C">
        <w:rPr>
          <w:rFonts w:ascii="Arial" w:eastAsia="Calibri" w:hAnsi="Arial" w:cs="Arial"/>
          <w:sz w:val="22"/>
          <w:szCs w:val="22"/>
          <w:lang w:val="en-US"/>
        </w:rPr>
        <w:t xml:space="preserve"> </w:t>
      </w:r>
    </w:p>
    <w:bookmarkEnd w:id="1"/>
    <w:p w14:paraId="727BD34F" w14:textId="77777777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13667A3C" w14:textId="51829FCE" w:rsidR="005166FE" w:rsidRPr="00297F1D" w:rsidRDefault="005166FE" w:rsidP="005166FE">
      <w:pPr>
        <w:pStyle w:val="Titolo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73332570" w14:textId="1EEB0937" w:rsidR="00895F13" w:rsidRDefault="00895F13" w:rsidP="002D479C">
      <w:pPr>
        <w:numPr>
          <w:ilvl w:val="0"/>
          <w:numId w:val="1"/>
        </w:numPr>
        <w:ind w:left="284" w:hanging="284"/>
        <w:rPr>
          <w:rFonts w:ascii="Arial" w:hAnsi="Arial" w:cs="Arial"/>
          <w:sz w:val="15"/>
          <w:szCs w:val="15"/>
          <w:lang w:val="en-US"/>
        </w:rPr>
      </w:pPr>
      <w:proofErr w:type="spellStart"/>
      <w:r w:rsidRPr="00895F13">
        <w:rPr>
          <w:rFonts w:ascii="Arial" w:hAnsi="Arial" w:cs="Arial"/>
          <w:sz w:val="15"/>
          <w:szCs w:val="15"/>
        </w:rPr>
        <w:t>Møller</w:t>
      </w:r>
      <w:proofErr w:type="spellEnd"/>
      <w:r w:rsidRPr="00895F13">
        <w:rPr>
          <w:rFonts w:ascii="Arial" w:hAnsi="Arial" w:cs="Arial"/>
          <w:sz w:val="15"/>
          <w:szCs w:val="15"/>
        </w:rPr>
        <w:t xml:space="preserve">, K. T. et al (2017). </w:t>
      </w:r>
      <w:r w:rsidRPr="00895F13">
        <w:rPr>
          <w:rFonts w:ascii="Arial" w:hAnsi="Arial" w:cs="Arial"/>
          <w:sz w:val="15"/>
          <w:szCs w:val="15"/>
          <w:lang w:val="en-US"/>
        </w:rPr>
        <w:t xml:space="preserve">“Hydrogen - A sustainable energy carrier”. Progress in Natural </w:t>
      </w:r>
      <w:proofErr w:type="spellStart"/>
      <w:r w:rsidRPr="00895F13">
        <w:rPr>
          <w:rFonts w:ascii="Arial" w:hAnsi="Arial" w:cs="Arial"/>
          <w:sz w:val="15"/>
          <w:szCs w:val="15"/>
          <w:lang w:val="en-US"/>
        </w:rPr>
        <w:t>Science:Materials</w:t>
      </w:r>
      <w:proofErr w:type="spellEnd"/>
      <w:r w:rsidRPr="00895F13">
        <w:rPr>
          <w:rFonts w:ascii="Arial" w:hAnsi="Arial" w:cs="Arial"/>
          <w:sz w:val="15"/>
          <w:szCs w:val="15"/>
          <w:lang w:val="en-US"/>
        </w:rPr>
        <w:t xml:space="preserve"> International,27(1),34-40.</w:t>
      </w:r>
    </w:p>
    <w:p w14:paraId="36238A75" w14:textId="0C837656" w:rsidR="00F11E97" w:rsidRDefault="00F11E97" w:rsidP="002D479C">
      <w:pPr>
        <w:numPr>
          <w:ilvl w:val="0"/>
          <w:numId w:val="1"/>
        </w:numPr>
        <w:ind w:left="284" w:hanging="284"/>
        <w:rPr>
          <w:rFonts w:ascii="Arial" w:hAnsi="Arial" w:cs="Arial"/>
          <w:sz w:val="15"/>
          <w:szCs w:val="15"/>
          <w:lang w:val="en-US"/>
        </w:rPr>
      </w:pPr>
      <w:proofErr w:type="spellStart"/>
      <w:r w:rsidRPr="00895F13">
        <w:rPr>
          <w:rFonts w:ascii="Arial" w:hAnsi="Arial" w:cs="Arial"/>
          <w:sz w:val="15"/>
          <w:szCs w:val="15"/>
          <w:lang w:val="en-US"/>
        </w:rPr>
        <w:t>Grätzel</w:t>
      </w:r>
      <w:proofErr w:type="spellEnd"/>
      <w:r w:rsidRPr="00895F13">
        <w:rPr>
          <w:rFonts w:ascii="Arial" w:hAnsi="Arial" w:cs="Arial"/>
          <w:sz w:val="15"/>
          <w:szCs w:val="15"/>
          <w:lang w:val="en-US"/>
        </w:rPr>
        <w:t>, M. (2001) "Photoelectrochemical cells". Nature 414, 338–344.</w:t>
      </w:r>
    </w:p>
    <w:p w14:paraId="2BB88134" w14:textId="78827EC3" w:rsidR="00895F13" w:rsidRPr="00F11E97" w:rsidRDefault="00895F13" w:rsidP="00F11E97">
      <w:pPr>
        <w:numPr>
          <w:ilvl w:val="0"/>
          <w:numId w:val="1"/>
        </w:numPr>
        <w:ind w:left="284" w:hanging="284"/>
        <w:rPr>
          <w:rFonts w:ascii="Arial" w:hAnsi="Arial" w:cs="Arial"/>
          <w:sz w:val="15"/>
          <w:szCs w:val="15"/>
          <w:lang w:val="en-US"/>
        </w:rPr>
      </w:pPr>
      <w:r w:rsidRPr="00895F13">
        <w:rPr>
          <w:rFonts w:ascii="Arial" w:hAnsi="Arial" w:cs="Arial"/>
          <w:sz w:val="15"/>
          <w:szCs w:val="15"/>
          <w:lang w:val="en-US"/>
        </w:rPr>
        <w:t>Aslam S. et al. (2023) “Electrochemical hydrogen production: sustainable hydrogen economy”, Green Chem.,25, 9543-9573</w:t>
      </w:r>
    </w:p>
    <w:p w14:paraId="1CDC316F" w14:textId="7144B0CB" w:rsidR="005166FE" w:rsidRPr="00895F13" w:rsidRDefault="00895F13" w:rsidP="002D479C">
      <w:pPr>
        <w:numPr>
          <w:ilvl w:val="0"/>
          <w:numId w:val="1"/>
        </w:numPr>
        <w:ind w:left="284" w:hanging="284"/>
        <w:rPr>
          <w:rFonts w:ascii="Arial" w:hAnsi="Arial" w:cs="Arial"/>
          <w:sz w:val="15"/>
          <w:szCs w:val="15"/>
          <w:lang w:val="en-US"/>
        </w:rPr>
      </w:pPr>
      <w:r w:rsidRPr="00895F13">
        <w:rPr>
          <w:rFonts w:ascii="Arial" w:hAnsi="Arial" w:cs="Arial"/>
          <w:sz w:val="15"/>
          <w:szCs w:val="15"/>
          <w:lang w:val="en-US"/>
        </w:rPr>
        <w:t>Paparoni et al., (2024) "A Novel Electrochemical Flow-Cell for Operando XAS Investigations in X-Ray Opaque Supports", Phys. Chem. Chem. Phys., 2024,26, 3897-3906</w:t>
      </w:r>
      <w:r>
        <w:rPr>
          <w:rFonts w:ascii="Arial" w:hAnsi="Arial" w:cs="Arial"/>
          <w:sz w:val="15"/>
          <w:szCs w:val="15"/>
          <w:lang w:val="en-US"/>
        </w:rPr>
        <w:t>.</w:t>
      </w:r>
      <w:bookmarkEnd w:id="0"/>
    </w:p>
    <w:sectPr w:rsidR="005166FE" w:rsidRPr="00895F13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1774" w14:textId="77777777" w:rsidR="0014335D" w:rsidRDefault="0014335D" w:rsidP="00AB158A">
      <w:r>
        <w:separator/>
      </w:r>
    </w:p>
  </w:endnote>
  <w:endnote w:type="continuationSeparator" w:id="0">
    <w:p w14:paraId="6ADC43D1" w14:textId="77777777" w:rsidR="0014335D" w:rsidRDefault="0014335D" w:rsidP="00AB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3D0C" w14:textId="77777777" w:rsidR="0014335D" w:rsidRDefault="0014335D" w:rsidP="00AB158A">
      <w:r>
        <w:separator/>
      </w:r>
    </w:p>
  </w:footnote>
  <w:footnote w:type="continuationSeparator" w:id="0">
    <w:p w14:paraId="000182CF" w14:textId="77777777" w:rsidR="0014335D" w:rsidRDefault="0014335D" w:rsidP="00AB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38B6"/>
    <w:multiLevelType w:val="hybridMultilevel"/>
    <w:tmpl w:val="ACDCEE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87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41ED8"/>
    <w:rsid w:val="00057E69"/>
    <w:rsid w:val="0014335D"/>
    <w:rsid w:val="00297F1D"/>
    <w:rsid w:val="002D479C"/>
    <w:rsid w:val="002E40F1"/>
    <w:rsid w:val="005166FE"/>
    <w:rsid w:val="0063764B"/>
    <w:rsid w:val="006477D0"/>
    <w:rsid w:val="00733023"/>
    <w:rsid w:val="007C0DD7"/>
    <w:rsid w:val="007E4952"/>
    <w:rsid w:val="007E7378"/>
    <w:rsid w:val="00895F13"/>
    <w:rsid w:val="008A0FE8"/>
    <w:rsid w:val="008D4E08"/>
    <w:rsid w:val="0091292E"/>
    <w:rsid w:val="009F04C6"/>
    <w:rsid w:val="00AB158A"/>
    <w:rsid w:val="00AB1846"/>
    <w:rsid w:val="00B06DCF"/>
    <w:rsid w:val="00B404C1"/>
    <w:rsid w:val="00CF36A0"/>
    <w:rsid w:val="00DF3681"/>
    <w:rsid w:val="00E30A4A"/>
    <w:rsid w:val="00E51D1A"/>
    <w:rsid w:val="00F11E97"/>
    <w:rsid w:val="00F34148"/>
    <w:rsid w:val="00F45420"/>
    <w:rsid w:val="00FA5346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5554B4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fr-FR" w:eastAsia="fr-FR"/>
    </w:rPr>
  </w:style>
  <w:style w:type="paragraph" w:styleId="Titolo1">
    <w:name w:val="heading 1"/>
    <w:basedOn w:val="Normale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95F1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pertitle">
    <w:name w:val="papertitle"/>
    <w:basedOn w:val="Normale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e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e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e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e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e"/>
    <w:rsid w:val="005166FE"/>
    <w:pPr>
      <w:jc w:val="both"/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AB158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B158A"/>
    <w:rPr>
      <w:lang w:val="fr-FR" w:eastAsia="fr-FR"/>
    </w:rPr>
  </w:style>
  <w:style w:type="character" w:styleId="Rimandonotaapidipagina">
    <w:name w:val="footnote reference"/>
    <w:rsid w:val="00AB158A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895F13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AF5CD-B5CA-4909-98D1-F5716020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PAPARONI FRANCESCO</cp:lastModifiedBy>
  <cp:revision>2</cp:revision>
  <cp:lastPrinted>1899-12-31T23:00:00Z</cp:lastPrinted>
  <dcterms:created xsi:type="dcterms:W3CDTF">2025-10-03T14:09:00Z</dcterms:created>
  <dcterms:modified xsi:type="dcterms:W3CDTF">2025-10-03T14:09:00Z</dcterms:modified>
</cp:coreProperties>
</file>