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pertitle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Environmental Degradation of Plastics in Soils: Example of Polypropylene Alteration Investigated by Synchrotron-based GIXD and Nano-CT</w:t>
      </w:r>
    </w:p>
    <w:p>
      <w:pPr>
        <w:pStyle w:val="paperauthor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Quentin Bollaert</w:t>
      </w:r>
      <w:r>
        <w:rPr>
          <w:rStyle w:val="Aucun"/>
          <w:rFonts w:ascii="Arial" w:hAnsi="Arial"/>
          <w:vertAlign w:val="superscript"/>
          <w:rtl w:val="0"/>
          <w:lang w:val="fr-FR"/>
        </w:rPr>
        <w:t>1</w:t>
      </w:r>
      <w:r>
        <w:rPr>
          <w:rFonts w:ascii="Arial" w:hAnsi="Arial"/>
          <w:rtl w:val="0"/>
          <w:lang w:val="en-US"/>
        </w:rPr>
        <w:t>, Guillaume P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cheul</w:t>
      </w:r>
      <w:r>
        <w:rPr>
          <w:rStyle w:val="Aucun"/>
          <w:rFonts w:ascii="Arial" w:hAnsi="Arial"/>
          <w:vertAlign w:val="superscript"/>
          <w:rtl w:val="0"/>
          <w:lang w:val="fr-FR"/>
        </w:rPr>
        <w:t>1</w:t>
      </w:r>
      <w:r>
        <w:rPr>
          <w:rFonts w:ascii="Arial" w:hAnsi="Arial"/>
          <w:rtl w:val="0"/>
          <w:lang w:val="en-US"/>
        </w:rPr>
        <w:t>, Delphine Vantelon</w:t>
      </w:r>
      <w:r>
        <w:rPr>
          <w:rStyle w:val="Aucun"/>
          <w:rFonts w:ascii="Arial" w:hAnsi="Arial"/>
          <w:vertAlign w:val="superscript"/>
          <w:rtl w:val="0"/>
          <w:lang w:val="fr-FR"/>
        </w:rPr>
        <w:t xml:space="preserve">1 </w:t>
      </w:r>
      <w:r>
        <w:rPr>
          <w:rFonts w:ascii="Arial" w:hAnsi="Arial"/>
          <w:rtl w:val="0"/>
          <w:lang w:val="en-US"/>
        </w:rPr>
        <w:t>Alina Vlad</w:t>
      </w:r>
      <w:r>
        <w:rPr>
          <w:rStyle w:val="Aucun"/>
          <w:rFonts w:ascii="Arial" w:hAnsi="Arial"/>
          <w:vertAlign w:val="superscript"/>
          <w:rtl w:val="0"/>
          <w:lang w:val="fr-FR"/>
        </w:rPr>
        <w:t>1</w:t>
      </w:r>
      <w:r>
        <w:rPr>
          <w:rFonts w:ascii="Arial" w:hAnsi="Arial"/>
          <w:rtl w:val="0"/>
          <w:lang w:val="en-US"/>
        </w:rPr>
        <w:t>, Jonathan Perrin</w:t>
      </w:r>
      <w:r>
        <w:rPr>
          <w:rStyle w:val="Aucun"/>
          <w:rFonts w:ascii="Arial" w:hAnsi="Arial"/>
          <w:vertAlign w:val="superscript"/>
          <w:rtl w:val="0"/>
          <w:lang w:val="fr-FR"/>
        </w:rPr>
        <w:t>1</w:t>
      </w:r>
      <w:r>
        <w:rPr>
          <w:rFonts w:ascii="Arial" w:hAnsi="Arial"/>
          <w:rtl w:val="0"/>
          <w:lang w:val="en-US"/>
        </w:rPr>
        <w:t>, Isabelle Bihannic</w:t>
      </w:r>
      <w:r>
        <w:rPr>
          <w:rStyle w:val="Aucun"/>
          <w:rFonts w:ascii="Arial" w:hAnsi="Arial"/>
          <w:vertAlign w:val="superscript"/>
          <w:rtl w:val="0"/>
          <w:lang w:val="fr-FR"/>
        </w:rPr>
        <w:t>3</w:t>
      </w:r>
      <w:r>
        <w:rPr>
          <w:rFonts w:ascii="Arial" w:hAnsi="Arial"/>
          <w:rtl w:val="0"/>
          <w:lang w:val="en-US"/>
        </w:rPr>
        <w:t>, Ana Pradas del Real</w:t>
      </w:r>
      <w:r>
        <w:rPr>
          <w:rStyle w:val="Aucun"/>
          <w:rFonts w:ascii="Arial" w:hAnsi="Arial"/>
          <w:vertAlign w:val="superscript"/>
          <w:rtl w:val="0"/>
          <w:lang w:val="fr-FR"/>
        </w:rPr>
        <w:t>4</w:t>
      </w:r>
      <w:r>
        <w:rPr>
          <w:rFonts w:ascii="Arial" w:hAnsi="Arial"/>
          <w:rtl w:val="0"/>
          <w:lang w:val="en-US"/>
        </w:rPr>
        <w:t>, Camille Rivard</w:t>
      </w:r>
      <w:r>
        <w:rPr>
          <w:rStyle w:val="Aucun"/>
          <w:rFonts w:ascii="Arial" w:hAnsi="Arial"/>
          <w:vertAlign w:val="superscript"/>
          <w:rtl w:val="0"/>
          <w:lang w:val="fr-FR"/>
        </w:rPr>
        <w:t>1</w:t>
      </w:r>
      <w:r>
        <w:rPr>
          <w:rFonts w:ascii="Arial" w:hAnsi="Arial"/>
          <w:rtl w:val="0"/>
          <w:lang w:val="en-US"/>
        </w:rPr>
        <w:t>, M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lanie Davranche</w:t>
      </w:r>
      <w:r>
        <w:rPr>
          <w:rStyle w:val="Aucun"/>
          <w:rFonts w:ascii="Arial" w:hAnsi="Arial"/>
          <w:vertAlign w:val="superscript"/>
          <w:rtl w:val="0"/>
          <w:lang w:val="fr-FR"/>
        </w:rPr>
        <w:t>2</w:t>
      </w:r>
    </w:p>
    <w:p>
      <w:pPr>
        <w:pStyle w:val="authoraffiliation"/>
        <w:spacing w:line="216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1 </w:t>
      </w:r>
      <w:r>
        <w:rPr>
          <w:rFonts w:ascii="Arial" w:hAnsi="Arial"/>
          <w:rtl w:val="0"/>
          <w:lang w:val="en-US"/>
        </w:rPr>
        <w:t>Synchrotron SOLEIL, L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Orme des Merisiers, Saint-Aubin, 91190</w:t>
      </w:r>
      <w:r>
        <w:rPr>
          <w:rFonts w:ascii="Arial" w:hAnsi="Arial"/>
          <w:rtl w:val="0"/>
          <w:lang w:val="en-US"/>
        </w:rPr>
        <w:t>,</w:t>
      </w:r>
      <w:r>
        <w:rPr>
          <w:rFonts w:ascii="Arial" w:hAnsi="Arial"/>
          <w:rtl w:val="0"/>
          <w:lang w:val="en-US"/>
        </w:rPr>
        <w:t>, France</w:t>
      </w:r>
    </w:p>
    <w:p>
      <w:pPr>
        <w:pStyle w:val="authoraffiliation"/>
        <w:spacing w:line="216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2 </w:t>
      </w:r>
      <w:r>
        <w:rPr>
          <w:rFonts w:ascii="Arial" w:hAnsi="Arial"/>
          <w:rtl w:val="0"/>
          <w:lang w:val="en-US"/>
        </w:rPr>
        <w:t>G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osciences Rennes, UMR 6118 CNRS, Univ. Rennes, Rennes, 35000, France</w:t>
      </w:r>
    </w:p>
    <w:p>
      <w:pPr>
        <w:pStyle w:val="authoraffiliation"/>
        <w:spacing w:line="216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3 OSER</w:t>
      </w:r>
      <w:r>
        <w:rPr>
          <w:rFonts w:ascii="Arial" w:hAnsi="Arial"/>
          <w:rtl w:val="0"/>
          <w:lang w:val="en-US"/>
        </w:rPr>
        <w:t>, UAR 3343 CNRS</w:t>
      </w:r>
      <w:r>
        <w:rPr>
          <w:rFonts w:ascii="Arial" w:hAnsi="Arial"/>
          <w:rtl w:val="0"/>
          <w:lang w:val="en-US"/>
        </w:rPr>
        <w:t>,</w:t>
      </w:r>
      <w:r>
        <w:rPr>
          <w:rFonts w:ascii="Arial" w:hAnsi="Arial"/>
          <w:rtl w:val="0"/>
          <w:lang w:val="en-US"/>
        </w:rPr>
        <w:t xml:space="preserve"> U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>iv. Rennes, Rennes, 35000,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France</w:t>
      </w:r>
    </w:p>
    <w:p>
      <w:pPr>
        <w:pStyle w:val="authoraffiliation"/>
        <w:spacing w:line="216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4 I</w:t>
      </w:r>
      <w:r>
        <w:rPr>
          <w:rFonts w:ascii="Arial" w:hAnsi="Arial"/>
          <w:rtl w:val="0"/>
          <w:lang w:val="en-US"/>
        </w:rPr>
        <w:t>STerre, Universit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Grenoble Alpes, Universit</w:t>
      </w:r>
      <w:r>
        <w:rPr>
          <w:rFonts w:ascii="Arial" w:hAnsi="Arial" w:hint="default"/>
          <w:rtl w:val="0"/>
          <w:lang w:val="en-US"/>
        </w:rPr>
        <w:t xml:space="preserve">é </w:t>
      </w:r>
      <w:r>
        <w:rPr>
          <w:rFonts w:ascii="Arial" w:hAnsi="Arial"/>
          <w:rtl w:val="0"/>
          <w:lang w:val="en-US"/>
        </w:rPr>
        <w:t>Savoie Mont Blanc,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38000 Grenoble, France</w:t>
      </w:r>
    </w:p>
    <w:p>
      <w:pPr>
        <w:pStyle w:val="Titre"/>
        <w:rPr>
          <w:rStyle w:val="Aucun"/>
          <w:rFonts w:ascii="Arial" w:cs="Arial" w:hAnsi="Arial" w:eastAsia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  <w:rtl w:val="0"/>
          <w:lang w:val="en-US"/>
        </w:rPr>
        <w:t>ABSTRACT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tab/>
      </w:r>
      <w:r>
        <w:rPr>
          <w:rFonts w:ascii="Arial" w:hAnsi="Arial"/>
          <w:rtl w:val="0"/>
          <w:lang w:val="en-US"/>
        </w:rPr>
        <w:t>Plastic waste has become a</w:t>
      </w:r>
      <w:r>
        <w:rPr>
          <w:rFonts w:ascii="Arial" w:hAnsi="Arial"/>
          <w:rtl w:val="0"/>
          <w:lang w:val="fr-FR"/>
        </w:rPr>
        <w:t xml:space="preserve"> major</w:t>
      </w:r>
      <w:r>
        <w:rPr>
          <w:rFonts w:ascii="Arial" w:hAnsi="Arial"/>
          <w:rtl w:val="0"/>
          <w:lang w:val="en-US"/>
        </w:rPr>
        <w:t xml:space="preserve"> environmental concern due to uncontrolled littering across</w:t>
      </w:r>
      <w:r>
        <w:rPr>
          <w:rFonts w:ascii="Arial" w:hAnsi="Arial"/>
          <w:rtl w:val="0"/>
          <w:lang w:val="fr-FR"/>
        </w:rPr>
        <w:t xml:space="preserve"> </w:t>
      </w:r>
      <w:r>
        <w:rPr>
          <w:rFonts w:ascii="Arial" w:hAnsi="Arial"/>
          <w:rtl w:val="0"/>
          <w:lang w:val="en-US"/>
        </w:rPr>
        <w:t>ecosystems</w:t>
      </w:r>
      <w:r>
        <w:rPr>
          <w:rFonts w:ascii="Arial" w:hAnsi="Arial"/>
          <w:rtl w:val="0"/>
          <w:lang w:val="fr-FR"/>
        </w:rPr>
        <w:t xml:space="preserve">, including soils. Compost amendments contaminated with plastics are a significant source to land. Once in the soil, plastics undergo weathering and degradation, leading to their fragmentation into microplastics </w:t>
      </w:r>
      <w:r>
        <w:rPr>
          <w:rFonts w:ascii="Arial" w:hAnsi="Arial"/>
          <w:rtl w:val="0"/>
          <w:lang w:val="fr-FR"/>
        </w:rPr>
        <w:t>(MP,</w:t>
      </w:r>
      <w:r>
        <w:rPr>
          <w:rFonts w:ascii="Arial" w:hAnsi="Arial"/>
          <w:rtl w:val="0"/>
          <w:lang w:val="fr-FR"/>
        </w:rPr>
        <w:t xml:space="preserve"> 1</w:t>
      </w:r>
      <w:r>
        <w:rPr>
          <w:rFonts w:ascii="Arial" w:hAnsi="Arial" w:hint="default"/>
          <w:rtl w:val="0"/>
          <w:lang w:val="fr-FR"/>
        </w:rPr>
        <w:t>µ</w:t>
      </w:r>
      <w:r>
        <w:rPr>
          <w:rFonts w:ascii="Arial" w:hAnsi="Arial"/>
          <w:rtl w:val="0"/>
          <w:lang w:val="fr-FR"/>
        </w:rPr>
        <w:t>m</w:t>
      </w:r>
      <w:r>
        <w:rPr>
          <w:rFonts w:ascii="Arial" w:hAnsi="Arial" w:hint="default"/>
          <w:rtl w:val="0"/>
        </w:rPr>
        <w:t>–</w:t>
      </w:r>
      <w:r>
        <w:rPr>
          <w:rFonts w:ascii="Arial" w:hAnsi="Arial"/>
          <w:rtl w:val="0"/>
        </w:rPr>
        <w:t>5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mm)</w:t>
      </w:r>
      <w:r>
        <w:rPr>
          <w:rFonts w:ascii="Arial" w:hAnsi="Arial"/>
          <w:rtl w:val="0"/>
          <w:lang w:val="fr-FR"/>
        </w:rPr>
        <w:t xml:space="preserve"> and nanoplastics (&lt; 1 </w:t>
      </w:r>
      <w:r>
        <w:rPr>
          <w:rFonts w:ascii="Arial" w:hAnsi="Arial" w:hint="default"/>
          <w:rtl w:val="0"/>
          <w:lang w:val="fr-FR"/>
        </w:rPr>
        <w:t>µ</w:t>
      </w:r>
      <w:r>
        <w:rPr>
          <w:rFonts w:ascii="Arial" w:hAnsi="Arial"/>
          <w:rtl w:val="0"/>
          <w:lang w:val="fr-FR"/>
        </w:rPr>
        <w:t xml:space="preserve">m), which can be transported through the soil profile (1). Mobility of nanoplastics is particularly concerning because these particles can transport adsorbed metal(loid)s such as lead and rare earth elements (2,3). </w:t>
      </w:r>
      <w:r>
        <w:rPr>
          <w:rFonts w:ascii="Arial" w:hAnsi="Arial"/>
          <w:rtl w:val="0"/>
          <w:lang w:val="en-US"/>
        </w:rPr>
        <w:t>While thermal, photo- and mechanical degradation pathways are documented (</w:t>
      </w:r>
      <w:r>
        <w:rPr>
          <w:rFonts w:ascii="Arial" w:hAnsi="Arial"/>
          <w:rtl w:val="0"/>
          <w:lang w:val="fr-FR"/>
        </w:rPr>
        <w:t>4,5</w:t>
      </w:r>
      <w:r>
        <w:rPr>
          <w:rFonts w:ascii="Arial" w:hAnsi="Arial"/>
          <w:rtl w:val="0"/>
          <w:lang w:val="en-US"/>
        </w:rPr>
        <w:t>), the structural changes that accompany environmental alteration</w:t>
      </w:r>
      <w:r>
        <w:rPr>
          <w:rFonts w:ascii="Arial" w:hAnsi="Arial"/>
          <w:rtl w:val="0"/>
          <w:lang w:val="fr-FR"/>
        </w:rPr>
        <w:t xml:space="preserve">, </w:t>
      </w:r>
      <w:r>
        <w:rPr>
          <w:rFonts w:ascii="Arial" w:hAnsi="Arial"/>
          <w:rtl w:val="0"/>
          <w:lang w:val="en-US"/>
        </w:rPr>
        <w:t>and their role in generating nanoplastics</w:t>
      </w:r>
      <w:r>
        <w:rPr>
          <w:rFonts w:ascii="Arial" w:hAnsi="Arial"/>
          <w:rtl w:val="0"/>
          <w:lang w:val="fr-FR"/>
        </w:rPr>
        <w:t xml:space="preserve">, </w:t>
      </w:r>
      <w:r>
        <w:rPr>
          <w:rFonts w:ascii="Arial" w:hAnsi="Arial"/>
          <w:rtl w:val="0"/>
          <w:lang w:val="en-US"/>
        </w:rPr>
        <w:t>remain poorly constrained.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fr-FR"/>
        </w:rPr>
        <w:tab/>
        <w:t xml:space="preserve">Here, we examine macroplastic fragments sampled from </w:t>
      </w:r>
      <w:r>
        <w:rPr>
          <w:rFonts w:ascii="Arial" w:hAnsi="Arial"/>
          <w:rtl w:val="0"/>
          <w:lang w:val="en-US"/>
        </w:rPr>
        <w:t>plastic-contaminated</w:t>
      </w:r>
      <w:r>
        <w:rPr>
          <w:rFonts w:ascii="Arial" w:hAnsi="Arial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 xml:space="preserve">agricultural soils </w:t>
      </w:r>
      <w:r>
        <w:rPr>
          <w:rFonts w:ascii="Arial" w:hAnsi="Arial"/>
          <w:rtl w:val="0"/>
          <w:lang w:val="fr-FR"/>
        </w:rPr>
        <w:t xml:space="preserve">at </w:t>
      </w:r>
      <w:r>
        <w:rPr>
          <w:rFonts w:ascii="Arial" w:hAnsi="Arial"/>
          <w:rtl w:val="0"/>
          <w:lang w:val="fr-FR"/>
        </w:rPr>
        <w:t>Meung-sur-Loire</w:t>
      </w:r>
      <w:r>
        <w:rPr>
          <w:rFonts w:ascii="Arial" w:hAnsi="Arial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(Loiret, France)</w:t>
      </w:r>
      <w:r>
        <w:rPr>
          <w:rFonts w:ascii="Arial" w:hAnsi="Arial"/>
          <w:rtl w:val="0"/>
          <w:lang w:val="fr-FR"/>
        </w:rPr>
        <w:t xml:space="preserve">, which aged ~ 30 years in situ. Polypropylene (PP) fragments were analyzed using synchrotron-based </w:t>
      </w:r>
      <w:r>
        <w:rPr>
          <w:rFonts w:ascii="Arial" w:hAnsi="Arial"/>
          <w:rtl w:val="0"/>
          <w:lang w:val="en-US"/>
        </w:rPr>
        <w:t>grazing-incident X-ray diffraction (GIXD)</w:t>
      </w:r>
      <w:r>
        <w:rPr>
          <w:rFonts w:ascii="Arial" w:hAnsi="Arial"/>
          <w:rtl w:val="0"/>
          <w:lang w:val="fr-FR"/>
        </w:rPr>
        <w:t xml:space="preserve"> and </w:t>
      </w:r>
      <w:r>
        <w:rPr>
          <w:rFonts w:ascii="Arial" w:hAnsi="Arial"/>
          <w:rtl w:val="0"/>
          <w:lang w:val="en-US"/>
        </w:rPr>
        <w:t>nano-computed tomography (CT)</w:t>
      </w:r>
      <w:r>
        <w:rPr>
          <w:rFonts w:ascii="Arial" w:hAnsi="Arial"/>
          <w:rtl w:val="0"/>
          <w:lang w:val="fr-FR"/>
        </w:rPr>
        <w:t xml:space="preserve">. </w:t>
      </w:r>
      <w:r>
        <w:rPr>
          <w:rFonts w:ascii="Arial" w:hAnsi="Arial"/>
          <w:rtl w:val="0"/>
        </w:rPr>
        <w:t>At 0</w:t>
      </w:r>
      <w:r>
        <w:rPr>
          <w:rFonts w:ascii="Arial" w:hAnsi="Arial" w:hint="default"/>
          <w:rtl w:val="0"/>
          <w:lang w:val="it-IT"/>
        </w:rPr>
        <w:t xml:space="preserve">° </w:t>
      </w:r>
      <w:r>
        <w:rPr>
          <w:rFonts w:ascii="Arial" w:hAnsi="Arial"/>
          <w:rtl w:val="0"/>
          <w:lang w:val="en-US"/>
        </w:rPr>
        <w:t>incidence, GIXD resolves only two of PP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en-US"/>
        </w:rPr>
        <w:t>s four characteristic reflections</w:t>
      </w:r>
      <w:r>
        <w:rPr>
          <w:rFonts w:ascii="Arial" w:hAnsi="Arial"/>
          <w:rtl w:val="0"/>
          <w:lang w:val="fr-FR"/>
        </w:rPr>
        <w:t>, whereas</w:t>
      </w:r>
      <w:r>
        <w:rPr>
          <w:rFonts w:ascii="Arial" w:hAnsi="Arial"/>
          <w:rtl w:val="0"/>
          <w:lang w:val="en-US"/>
        </w:rPr>
        <w:t xml:space="preserve"> increasing the incidence to 20</w:t>
      </w:r>
      <w:r>
        <w:rPr>
          <w:rFonts w:ascii="Arial" w:hAnsi="Arial" w:hint="default"/>
          <w:rtl w:val="0"/>
          <w:lang w:val="it-IT"/>
        </w:rPr>
        <w:t xml:space="preserve">° </w:t>
      </w:r>
      <w:r>
        <w:rPr>
          <w:rFonts w:ascii="Arial" w:hAnsi="Arial"/>
          <w:rtl w:val="0"/>
          <w:lang w:val="en-US"/>
        </w:rPr>
        <w:t xml:space="preserve">recovers the full diffraction pattern. The </w:t>
      </w:r>
      <w:r>
        <w:rPr>
          <w:rFonts w:ascii="Arial" w:hAnsi="Arial"/>
          <w:rtl w:val="0"/>
          <w:lang w:val="fr-FR"/>
        </w:rPr>
        <w:t>constant</w:t>
      </w:r>
      <w:r>
        <w:rPr>
          <w:rFonts w:ascii="Arial" w:hAnsi="Arial"/>
          <w:rtl w:val="0"/>
          <w:lang w:val="en-US"/>
        </w:rPr>
        <w:t xml:space="preserve"> intensity of the (110) reflection, contrasted with the loss of others</w:t>
      </w:r>
      <w:r>
        <w:rPr>
          <w:rFonts w:ascii="Arial" w:hAnsi="Arial"/>
          <w:rtl w:val="0"/>
          <w:lang w:val="fr-FR"/>
        </w:rPr>
        <w:t xml:space="preserve"> at low incidence angles</w:t>
      </w:r>
      <w:r>
        <w:rPr>
          <w:rFonts w:ascii="Arial" w:hAnsi="Arial"/>
          <w:rtl w:val="0"/>
          <w:lang w:val="en-US"/>
        </w:rPr>
        <w:t xml:space="preserve">, indicates </w:t>
      </w:r>
      <w:r>
        <w:rPr>
          <w:rFonts w:ascii="Arial" w:hAnsi="Arial"/>
          <w:rtl w:val="0"/>
          <w:lang w:val="fr-FR"/>
        </w:rPr>
        <w:t xml:space="preserve">the </w:t>
      </w:r>
      <w:r>
        <w:rPr>
          <w:rFonts w:ascii="Arial" w:hAnsi="Arial"/>
          <w:rtl w:val="0"/>
          <w:lang w:val="es-ES_tradnl"/>
        </w:rPr>
        <w:t>anisotropic</w:t>
      </w:r>
      <w:r>
        <w:rPr>
          <w:rFonts w:ascii="Arial" w:hAnsi="Arial"/>
          <w:rtl w:val="0"/>
          <w:lang w:val="fr-FR"/>
        </w:rPr>
        <w:t xml:space="preserve"> alteration of plastic. </w:t>
      </w:r>
      <w:r>
        <w:rPr>
          <w:rFonts w:ascii="Arial" w:hAnsi="Arial"/>
          <w:rtl w:val="0"/>
          <w:lang w:val="it-IT"/>
        </w:rPr>
        <w:t>Nano-CT</w:t>
      </w:r>
      <w:r>
        <w:rPr>
          <w:rFonts w:ascii="Arial" w:hAnsi="Arial"/>
          <w:rtl w:val="0"/>
          <w:lang w:val="fr-FR"/>
        </w:rPr>
        <w:t xml:space="preserve"> imaging</w:t>
      </w:r>
      <w:r>
        <w:rPr>
          <w:rFonts w:ascii="Arial" w:hAnsi="Arial"/>
          <w:rtl w:val="0"/>
          <w:lang w:val="en-US"/>
        </w:rPr>
        <w:t xml:space="preserve"> reveals sub-micron pores and micron-scale cracks </w:t>
      </w:r>
      <w:r>
        <w:rPr>
          <w:rFonts w:ascii="Arial" w:hAnsi="Arial"/>
          <w:rtl w:val="0"/>
          <w:lang w:val="fr-FR"/>
        </w:rPr>
        <w:t>forming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fr-FR"/>
        </w:rPr>
        <w:t xml:space="preserve">in </w:t>
      </w:r>
      <w:r>
        <w:rPr>
          <w:rFonts w:ascii="Arial" w:hAnsi="Arial"/>
          <w:rtl w:val="0"/>
          <w:lang w:val="en-US"/>
        </w:rPr>
        <w:t>porous zones. Cracks network is c</w:t>
      </w:r>
      <w:r>
        <w:rPr>
          <w:rFonts w:ascii="Arial" w:hAnsi="Arial"/>
          <w:rtl w:val="0"/>
          <w:lang w:val="fr-FR"/>
        </w:rPr>
        <w:t>h</w:t>
      </w:r>
      <w:r>
        <w:rPr>
          <w:rFonts w:ascii="Arial" w:hAnsi="Arial"/>
          <w:rtl w:val="0"/>
          <w:lang w:val="en-US"/>
        </w:rPr>
        <w:t>aracterized by fractures parallel to each other, with an almost vertical dip starting from the plastic surface and extending to depths of ~150</w:t>
      </w:r>
      <w:r>
        <w:rPr>
          <w:rFonts w:ascii="Arial" w:hAnsi="Arial"/>
          <w:rtl w:val="0"/>
          <w:lang w:val="fr-FR"/>
        </w:rPr>
        <w:t xml:space="preserve"> </w:t>
      </w:r>
      <w:r>
        <w:rPr>
          <w:rFonts w:ascii="Arial" w:hAnsi="Arial" w:hint="default"/>
          <w:rtl w:val="0"/>
        </w:rPr>
        <w:t>µ</w:t>
      </w:r>
      <w:r>
        <w:rPr>
          <w:rFonts w:ascii="Arial" w:hAnsi="Arial"/>
          <w:rtl w:val="0"/>
        </w:rPr>
        <w:t>m</w:t>
      </w:r>
      <w:r>
        <w:rPr>
          <w:rFonts w:ascii="Arial" w:hAnsi="Arial"/>
          <w:rtl w:val="0"/>
          <w:lang w:val="fr-FR"/>
        </w:rPr>
        <w:t>,</w:t>
      </w:r>
      <w:r>
        <w:rPr>
          <w:rFonts w:ascii="Arial" w:hAnsi="Arial"/>
          <w:rtl w:val="0"/>
          <w:lang w:val="en-US"/>
        </w:rPr>
        <w:t xml:space="preserve"> demonstrating that</w:t>
      </w:r>
      <w:r>
        <w:rPr>
          <w:rFonts w:ascii="Arial" w:hAnsi="Arial"/>
          <w:rtl w:val="0"/>
          <w:lang w:val="fr-FR"/>
        </w:rPr>
        <w:t xml:space="preserve"> the </w:t>
      </w:r>
      <w:r>
        <w:rPr>
          <w:rStyle w:val="Aucun"/>
          <w:rFonts w:ascii="Arial" w:hAnsi="Arial"/>
          <w:rtl w:val="0"/>
          <w:lang w:val="en-US"/>
        </w:rPr>
        <w:t>the weathering-induced degradation of plastics in soils is not merely a surface phenomenon, but extends into the bulk material.</w:t>
      </w:r>
      <w:r>
        <w:rPr>
          <w:rStyle w:val="Aucun"/>
          <w:rFonts w:ascii="Arial" w:hAnsi="Arial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We observed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fr-FR"/>
        </w:rPr>
        <w:t>pores with a diameter of</w:t>
      </w:r>
      <w:r>
        <w:rPr>
          <w:rFonts w:ascii="Arial" w:hAnsi="Arial"/>
          <w:rtl w:val="0"/>
          <w:lang w:val="en-US"/>
        </w:rPr>
        <w:t xml:space="preserve"> up to ~300 </w:t>
      </w:r>
      <w:r>
        <w:rPr>
          <w:rFonts w:ascii="Arial" w:hAnsi="Arial" w:hint="default"/>
          <w:rtl w:val="0"/>
        </w:rPr>
        <w:t>µ</w:t>
      </w:r>
      <w:r>
        <w:rPr>
          <w:rFonts w:ascii="Arial" w:hAnsi="Arial"/>
          <w:rtl w:val="0"/>
          <w:lang w:val="it-IT"/>
        </w:rPr>
        <w:t>m in diameter</w:t>
      </w:r>
      <w:r>
        <w:rPr>
          <w:rFonts w:ascii="Arial" w:hAnsi="Arial"/>
          <w:rtl w:val="0"/>
          <w:lang w:val="fr-FR"/>
        </w:rPr>
        <w:t xml:space="preserve"> just below the surface, which seems to capture the fragmentation of the polymer into smaller fragments. </w:t>
      </w:r>
      <w:r>
        <w:rPr>
          <w:rFonts w:ascii="Arial" w:hAnsi="Arial"/>
          <w:rtl w:val="0"/>
          <w:lang w:val="en-US"/>
        </w:rPr>
        <w:t>These alteration features will be compared with those observed in other polymers from the same soil</w:t>
      </w:r>
      <w:r>
        <w:rPr>
          <w:rFonts w:ascii="Arial" w:hAnsi="Arial"/>
          <w:rtl w:val="0"/>
          <w:lang w:val="fr-FR"/>
        </w:rPr>
        <w:t xml:space="preserve"> profile</w:t>
      </w:r>
      <w:r>
        <w:rPr>
          <w:rFonts w:ascii="Arial" w:hAnsi="Arial"/>
          <w:rtl w:val="0"/>
          <w:lang w:val="en-US"/>
        </w:rPr>
        <w:t xml:space="preserve"> to identify which types </w:t>
      </w:r>
      <w:r>
        <w:rPr>
          <w:rFonts w:ascii="Arial" w:hAnsi="Arial"/>
          <w:rtl w:val="0"/>
          <w:lang w:val="fr-FR"/>
        </w:rPr>
        <w:t xml:space="preserve">of polymers </w:t>
      </w:r>
      <w:r>
        <w:rPr>
          <w:rFonts w:ascii="Arial" w:hAnsi="Arial"/>
          <w:rtl w:val="0"/>
          <w:lang w:val="en-US"/>
        </w:rPr>
        <w:t>are most susceptible to degradation, and to lin</w:t>
      </w:r>
      <w:r>
        <w:rPr>
          <w:rFonts w:ascii="Arial" w:hAnsi="Arial"/>
          <w:rtl w:val="0"/>
          <w:lang w:val="fr-FR"/>
        </w:rPr>
        <w:t>k</w:t>
      </w:r>
      <w:r>
        <w:rPr>
          <w:rFonts w:ascii="Arial" w:hAnsi="Arial"/>
          <w:rtl w:val="0"/>
          <w:lang w:val="en-US"/>
        </w:rPr>
        <w:t xml:space="preserve"> with the</w:t>
      </w:r>
      <w:r>
        <w:rPr>
          <w:rFonts w:ascii="Arial" w:hAnsi="Arial"/>
          <w:rtl w:val="0"/>
          <w:lang w:val="fr-FR"/>
        </w:rPr>
        <w:t xml:space="preserve"> nature, size and shape of the</w:t>
      </w:r>
      <w:r>
        <w:rPr>
          <w:rFonts w:ascii="Arial" w:hAnsi="Arial"/>
          <w:rtl w:val="0"/>
        </w:rPr>
        <w:t xml:space="preserve"> nanoplastic</w:t>
      </w:r>
      <w:r>
        <w:rPr>
          <w:rFonts w:ascii="Arial" w:hAnsi="Arial"/>
          <w:rtl w:val="0"/>
          <w:lang w:val="fr-FR"/>
        </w:rPr>
        <w:t xml:space="preserve">s </w:t>
      </w:r>
      <w:r>
        <w:rPr>
          <w:rFonts w:ascii="Arial" w:hAnsi="Arial"/>
          <w:rtl w:val="0"/>
          <w:lang w:val="en-US"/>
        </w:rPr>
        <w:t>present in the soil</w:t>
      </w:r>
      <w:r>
        <w:rPr>
          <w:rFonts w:ascii="Arial" w:hAnsi="Arial"/>
          <w:rtl w:val="0"/>
          <w:lang w:val="fr-FR"/>
        </w:rPr>
        <w:t>.</w:t>
      </w:r>
    </w:p>
    <w:p>
      <w:pPr>
        <w:pStyle w:val="Titre"/>
        <w:rPr>
          <w:rStyle w:val="Aucun"/>
          <w:rFonts w:ascii="Arial" w:cs="Arial" w:hAnsi="Arial" w:eastAsia="Arial"/>
          <w:caps w:val="0"/>
          <w:smallCaps w:val="0"/>
          <w:outline w:val="0"/>
          <w:color w:val="0000ff"/>
          <w:sz w:val="22"/>
          <w:szCs w:val="22"/>
          <w:u w:color="0000ff"/>
          <w14:textFill>
            <w14:solidFill>
              <w14:srgbClr w14:val="0000FF"/>
            </w14:solidFill>
          </w14:textFill>
        </w:rPr>
      </w:pPr>
      <w:r>
        <w:rPr>
          <w:rStyle w:val="Aucun"/>
          <w:rFonts w:ascii="Arial" w:hAnsi="Arial"/>
          <w:sz w:val="22"/>
          <w:szCs w:val="22"/>
          <w:rtl w:val="0"/>
          <w:lang w:val="en-US"/>
        </w:rPr>
        <w:t>References</w:t>
      </w:r>
    </w:p>
    <w:p>
      <w:pPr>
        <w:pStyle w:val="reference"/>
        <w:rPr>
          <w:rFonts w:ascii="Arial" w:cs="Arial" w:hAnsi="Arial" w:eastAsia="Arial"/>
          <w:lang w:val="en-US"/>
        </w:rPr>
      </w:pPr>
      <w:r>
        <w:rPr>
          <w:rStyle w:val="Aucun"/>
          <w:rFonts w:ascii="Arial" w:hAnsi="Arial"/>
          <w:sz w:val="15"/>
          <w:szCs w:val="15"/>
          <w:rtl w:val="0"/>
          <w:lang w:val="en-US"/>
        </w:rPr>
        <w:t>1.</w:t>
      </w:r>
      <w:r>
        <w:rPr>
          <w:rStyle w:val="Aucun"/>
          <w:rFonts w:ascii="Arial" w:hAnsi="Arial" w:hint="default"/>
          <w:sz w:val="15"/>
          <w:szCs w:val="15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 xml:space="preserve">Wahl </w:t>
      </w:r>
      <w:r>
        <w:rPr>
          <w:rFonts w:ascii="Arial" w:hAnsi="Arial"/>
          <w:rtl w:val="0"/>
          <w:lang w:val="en-US"/>
        </w:rPr>
        <w:t xml:space="preserve">et al., </w:t>
      </w:r>
      <w:r>
        <w:rPr>
          <w:rFonts w:ascii="Arial" w:hAnsi="Arial"/>
          <w:rtl w:val="0"/>
          <w:lang w:val="en-US"/>
        </w:rPr>
        <w:t xml:space="preserve">(2024). </w:t>
      </w:r>
      <w:r>
        <w:rPr>
          <w:rStyle w:val="Aucun"/>
          <w:rFonts w:ascii="Arial" w:hAnsi="Arial"/>
          <w:i w:val="1"/>
          <w:iCs w:val="1"/>
          <w:rtl w:val="0"/>
          <w:lang w:val="en-US"/>
        </w:rPr>
        <w:t>Journal of Hazardous Materials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Style w:val="Aucun"/>
          <w:rFonts w:ascii="Arial" w:hAnsi="Arial"/>
          <w:i w:val="1"/>
          <w:iCs w:val="1"/>
          <w:rtl w:val="0"/>
          <w:lang w:val="en-US"/>
        </w:rPr>
        <w:t>476</w:t>
      </w:r>
      <w:r>
        <w:rPr>
          <w:rFonts w:ascii="Arial" w:hAnsi="Arial"/>
          <w:rtl w:val="0"/>
          <w:lang w:val="en-US"/>
        </w:rPr>
        <w:t>, 135153.</w:t>
      </w:r>
    </w:p>
    <w:p>
      <w:pPr>
        <w:pStyle w:val="reference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2. </w:t>
      </w:r>
      <w:r>
        <w:rPr>
          <w:rFonts w:ascii="Arial" w:hAnsi="Arial"/>
          <w:rtl w:val="0"/>
          <w:lang w:val="en-US"/>
        </w:rPr>
        <w:t>Davranche</w:t>
      </w:r>
      <w:r>
        <w:rPr>
          <w:rFonts w:ascii="Arial" w:hAnsi="Arial"/>
          <w:rtl w:val="0"/>
          <w:lang w:val="en-US"/>
        </w:rPr>
        <w:t xml:space="preserve"> et al., </w:t>
      </w:r>
      <w:r>
        <w:rPr>
          <w:rFonts w:ascii="Arial" w:hAnsi="Arial"/>
          <w:rtl w:val="0"/>
          <w:lang w:val="en-US"/>
        </w:rPr>
        <w:t xml:space="preserve">(2019). </w:t>
      </w:r>
      <w:r>
        <w:rPr>
          <w:rStyle w:val="Aucun"/>
          <w:rFonts w:ascii="Arial" w:hAnsi="Arial"/>
          <w:i w:val="1"/>
          <w:iCs w:val="1"/>
          <w:rtl w:val="0"/>
          <w:lang w:val="en-US"/>
        </w:rPr>
        <w:t>Environmental pollution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Style w:val="Aucun"/>
          <w:rFonts w:ascii="Arial" w:hAnsi="Arial"/>
          <w:i w:val="1"/>
          <w:iCs w:val="1"/>
          <w:rtl w:val="0"/>
          <w:lang w:val="en-US"/>
        </w:rPr>
        <w:t>249</w:t>
      </w:r>
      <w:r>
        <w:rPr>
          <w:rFonts w:ascii="Arial" w:hAnsi="Arial"/>
          <w:rtl w:val="0"/>
          <w:lang w:val="en-US"/>
        </w:rPr>
        <w:t>, 940-948.</w:t>
      </w:r>
    </w:p>
    <w:p>
      <w:pPr>
        <w:pStyle w:val="reference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3. Bollaert et al., (Under review). 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Environmental Science &amp; Technology</w:t>
      </w:r>
      <w:r>
        <w:rPr>
          <w:rFonts w:ascii="Arial" w:hAnsi="Arial"/>
          <w:rtl w:val="0"/>
          <w:lang w:val="en-US"/>
        </w:rPr>
        <w:t>.</w:t>
      </w:r>
    </w:p>
    <w:p>
      <w:pPr>
        <w:pStyle w:val="reference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4. </w:t>
      </w:r>
      <w:r>
        <w:rPr>
          <w:rFonts w:ascii="Arial" w:hAnsi="Arial"/>
          <w:rtl w:val="0"/>
          <w:lang w:val="en-US"/>
        </w:rPr>
        <w:t>Cai</w:t>
      </w:r>
      <w:r>
        <w:rPr>
          <w:rFonts w:ascii="Arial" w:hAnsi="Arial"/>
          <w:rtl w:val="0"/>
          <w:lang w:val="en-US"/>
        </w:rPr>
        <w:t xml:space="preserve"> et al., </w:t>
      </w:r>
      <w:r>
        <w:rPr>
          <w:rFonts w:ascii="Arial" w:hAnsi="Arial"/>
          <w:rtl w:val="0"/>
          <w:lang w:val="en-US"/>
        </w:rPr>
        <w:t xml:space="preserve">(2018). </w:t>
      </w:r>
      <w:r>
        <w:rPr>
          <w:rStyle w:val="Aucun"/>
          <w:rFonts w:ascii="Arial" w:hAnsi="Arial"/>
          <w:i w:val="1"/>
          <w:iCs w:val="1"/>
          <w:rtl w:val="0"/>
          <w:lang w:val="en-US"/>
        </w:rPr>
        <w:t>Science of the Total Environment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Style w:val="Aucun"/>
          <w:rFonts w:ascii="Arial" w:hAnsi="Arial"/>
          <w:i w:val="1"/>
          <w:iCs w:val="1"/>
          <w:rtl w:val="0"/>
          <w:lang w:val="en-US"/>
        </w:rPr>
        <w:t>628</w:t>
      </w:r>
      <w:r>
        <w:rPr>
          <w:rFonts w:ascii="Arial" w:hAnsi="Arial"/>
          <w:rtl w:val="0"/>
          <w:lang w:val="en-US"/>
        </w:rPr>
        <w:t>, 740-747.</w:t>
      </w:r>
    </w:p>
    <w:p>
      <w:pPr>
        <w:pStyle w:val="reference"/>
      </w:pPr>
      <w:r>
        <w:rPr>
          <w:rFonts w:ascii="Arial" w:hAnsi="Arial"/>
          <w:rtl w:val="0"/>
          <w:lang w:val="en-US"/>
        </w:rPr>
        <w:t xml:space="preserve">5. </w:t>
      </w:r>
      <w:r>
        <w:rPr>
          <w:rFonts w:ascii="Arial" w:hAnsi="Arial"/>
          <w:rtl w:val="0"/>
          <w:lang w:val="en-US"/>
        </w:rPr>
        <w:t>He</w:t>
      </w:r>
      <w:r>
        <w:rPr>
          <w:rFonts w:ascii="Arial" w:hAnsi="Arial"/>
          <w:rtl w:val="0"/>
          <w:lang w:val="en-US"/>
        </w:rPr>
        <w:t xml:space="preserve"> et al., </w:t>
      </w:r>
      <w:r>
        <w:rPr>
          <w:rFonts w:ascii="Arial" w:hAnsi="Arial"/>
          <w:rtl w:val="0"/>
          <w:lang w:val="en-US"/>
        </w:rPr>
        <w:t xml:space="preserve">(2018). </w:t>
      </w:r>
      <w:r>
        <w:rPr>
          <w:rStyle w:val="Aucun"/>
          <w:rFonts w:ascii="Arial" w:hAnsi="Arial"/>
          <w:i w:val="1"/>
          <w:iCs w:val="1"/>
          <w:rtl w:val="0"/>
          <w:lang w:val="en-US"/>
        </w:rPr>
        <w:t>TrAC Trends in Analytical Chemistry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Style w:val="Aucun"/>
          <w:rFonts w:ascii="Arial" w:hAnsi="Arial"/>
          <w:i w:val="1"/>
          <w:iCs w:val="1"/>
          <w:rtl w:val="0"/>
          <w:lang w:val="en-US"/>
        </w:rPr>
        <w:t>109</w:t>
      </w:r>
      <w:r>
        <w:rPr>
          <w:rFonts w:ascii="Arial" w:hAnsi="Arial"/>
          <w:rtl w:val="0"/>
          <w:lang w:val="en-US"/>
        </w:rPr>
        <w:t>, 163-172.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pertitle">
    <w:name w:val="papertitle"/>
    <w:next w:val="paper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96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paperauthor">
    <w:name w:val="paperauthor"/>
    <w:next w:val="paperautho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360" w:after="36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authoraffiliation">
    <w:name w:val="authoraffiliation"/>
    <w:next w:val="authoraffiliatio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Titre">
    <w:name w:val="Titre"/>
    <w:next w:val="Titr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24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36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reference">
    <w:name w:val="reference"/>
    <w:next w:val="referenc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274" w:right="0" w:hanging="274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