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AD80A" w14:textId="3D4645F2" w:rsidR="009D2760" w:rsidRPr="009D2760" w:rsidRDefault="000F344C" w:rsidP="009D2760">
      <w:pPr>
        <w:pStyle w:val="papertitle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Structural And Electrical Characterization of </w:t>
      </w:r>
      <w:bookmarkStart w:id="0" w:name="_Hlk213247438"/>
      <w:r>
        <w:rPr>
          <w:rFonts w:ascii="Arial" w:hAnsi="Arial" w:cs="Arial"/>
          <w:lang w:val="en-US"/>
        </w:rPr>
        <w:t>Hf</w:t>
      </w:r>
      <w:r>
        <w:rPr>
          <w:rFonts w:ascii="Arial" w:hAnsi="Arial" w:cs="Arial"/>
          <w:vertAlign w:val="subscript"/>
          <w:lang w:val="en-US"/>
        </w:rPr>
        <w:t>0.5</w:t>
      </w:r>
      <w:r>
        <w:rPr>
          <w:rFonts w:ascii="Arial" w:hAnsi="Arial" w:cs="Arial"/>
          <w:lang w:val="en-US"/>
        </w:rPr>
        <w:t>Zr</w:t>
      </w:r>
      <w:r>
        <w:rPr>
          <w:rFonts w:ascii="Arial" w:hAnsi="Arial" w:cs="Arial"/>
          <w:vertAlign w:val="subscript"/>
          <w:lang w:val="en-US"/>
        </w:rPr>
        <w:t>0.5</w:t>
      </w:r>
      <w:r>
        <w:rPr>
          <w:rFonts w:ascii="Arial" w:hAnsi="Arial" w:cs="Arial"/>
          <w:lang w:val="en-US"/>
        </w:rPr>
        <w:t>O</w:t>
      </w:r>
      <w:r>
        <w:rPr>
          <w:rFonts w:ascii="Arial" w:hAnsi="Arial" w:cs="Arial"/>
          <w:vertAlign w:val="subscript"/>
          <w:lang w:val="en-US"/>
        </w:rPr>
        <w:t>2</w:t>
      </w:r>
      <w:bookmarkEnd w:id="0"/>
      <w:r>
        <w:rPr>
          <w:rFonts w:ascii="Arial" w:hAnsi="Arial" w:cs="Arial"/>
          <w:lang w:val="en-US"/>
        </w:rPr>
        <w:t xml:space="preserve"> and </w:t>
      </w:r>
      <w:r w:rsidR="00945FD0" w:rsidRPr="00945FD0">
        <w:rPr>
          <w:rFonts w:ascii="Arial" w:hAnsi="Arial" w:cs="Arial"/>
          <w:lang w:val="en-US"/>
        </w:rPr>
        <w:t>ZrO</w:t>
      </w:r>
      <w:r w:rsidR="00945FD0" w:rsidRPr="00945FD0">
        <w:rPr>
          <w:rFonts w:ascii="Arial" w:hAnsi="Arial" w:cs="Arial"/>
          <w:vertAlign w:val="subscript"/>
          <w:lang w:val="en-US"/>
        </w:rPr>
        <w:t>2</w:t>
      </w:r>
      <w:r>
        <w:rPr>
          <w:rFonts w:ascii="Arial" w:hAnsi="Arial" w:cs="Arial"/>
          <w:lang w:val="en-US"/>
        </w:rPr>
        <w:t xml:space="preserve"> Thin Films Using Grazing Incidence Synchrotron X-ray Diffraction</w:t>
      </w:r>
    </w:p>
    <w:p w14:paraId="1D2BC540" w14:textId="77777777" w:rsidR="009D2760" w:rsidRDefault="009D2760" w:rsidP="000F344C">
      <w:pPr>
        <w:pStyle w:val="authoraffiliation"/>
        <w:rPr>
          <w:rFonts w:ascii="Arial" w:hAnsi="Arial" w:cs="Arial"/>
          <w:i w:val="0"/>
          <w:iCs w:val="0"/>
          <w:sz w:val="28"/>
          <w:szCs w:val="28"/>
          <w:lang w:val="en-GB"/>
        </w:rPr>
      </w:pPr>
    </w:p>
    <w:p w14:paraId="317FBFDA" w14:textId="21005898" w:rsidR="00337135" w:rsidRPr="00D56B67" w:rsidRDefault="00337135" w:rsidP="00D56B67">
      <w:pPr>
        <w:pStyle w:val="authoraffiliation"/>
        <w:rPr>
          <w:rFonts w:ascii="Arial" w:hAnsi="Arial" w:cs="Arial"/>
          <w:i w:val="0"/>
          <w:iCs w:val="0"/>
          <w:sz w:val="28"/>
          <w:szCs w:val="28"/>
        </w:rPr>
      </w:pPr>
      <w:r w:rsidRPr="00D56B67">
        <w:rPr>
          <w:rFonts w:ascii="Arial" w:hAnsi="Arial" w:cs="Arial"/>
          <w:i w:val="0"/>
          <w:iCs w:val="0"/>
          <w:sz w:val="28"/>
          <w:szCs w:val="28"/>
        </w:rPr>
        <w:t>Grégoire Magagnin¹, Ingrid Canero-Infante¹, Martine Le Berre², Tommy Defais³, Jordan Bouaziz³,</w:t>
      </w:r>
      <w:r w:rsidRPr="00D56B67">
        <w:rPr>
          <w:rFonts w:ascii="Arial" w:hAnsi="Arial" w:cs="Arial"/>
          <w:i w:val="0"/>
          <w:iCs w:val="0"/>
          <w:sz w:val="28"/>
          <w:szCs w:val="28"/>
        </w:rPr>
        <w:t xml:space="preserve"> </w:t>
      </w:r>
      <w:r w:rsidRPr="00D56B67">
        <w:rPr>
          <w:rFonts w:ascii="Arial" w:hAnsi="Arial" w:cs="Arial"/>
          <w:i w:val="0"/>
          <w:iCs w:val="0"/>
          <w:sz w:val="28"/>
          <w:szCs w:val="28"/>
        </w:rPr>
        <w:t>Andrea Resta</w:t>
      </w:r>
      <w:r w:rsidRPr="00D56B67">
        <w:rPr>
          <w:rFonts w:ascii="Arial" w:hAnsi="Arial" w:cs="Arial"/>
          <w:i w:val="0"/>
          <w:iCs w:val="0"/>
          <w:sz w:val="28"/>
          <w:szCs w:val="28"/>
          <w:vertAlign w:val="superscript"/>
        </w:rPr>
        <w:t>4</w:t>
      </w:r>
      <w:r w:rsidRPr="00D56B67">
        <w:rPr>
          <w:rFonts w:ascii="Arial" w:hAnsi="Arial" w:cs="Arial"/>
          <w:i w:val="0"/>
          <w:iCs w:val="0"/>
          <w:sz w:val="28"/>
          <w:szCs w:val="28"/>
        </w:rPr>
        <w:t>,</w:t>
      </w:r>
      <w:r w:rsidR="00D56B67" w:rsidRPr="00D56B67">
        <w:rPr>
          <w:rFonts w:ascii="Arial" w:hAnsi="Arial" w:cs="Arial"/>
          <w:i w:val="0"/>
          <w:iCs w:val="0"/>
          <w:sz w:val="28"/>
          <w:szCs w:val="28"/>
        </w:rPr>
        <w:t xml:space="preserve"> </w:t>
      </w:r>
      <w:r w:rsidR="00D56B67" w:rsidRPr="00D56B67">
        <w:rPr>
          <w:rFonts w:ascii="Arial" w:hAnsi="Arial" w:cs="Arial"/>
          <w:i w:val="0"/>
          <w:iCs w:val="0"/>
          <w:sz w:val="28"/>
          <w:szCs w:val="28"/>
        </w:rPr>
        <w:t>Yves G</w:t>
      </w:r>
      <w:r w:rsidR="00D56B67" w:rsidRPr="00D56B67">
        <w:rPr>
          <w:rFonts w:ascii="Arial" w:hAnsi="Arial" w:cs="Arial"/>
          <w:i w:val="0"/>
          <w:iCs w:val="0"/>
          <w:sz w:val="28"/>
          <w:szCs w:val="28"/>
        </w:rPr>
        <w:t>arre</w:t>
      </w:r>
      <w:r w:rsidR="00D56B67">
        <w:rPr>
          <w:rFonts w:ascii="Arial" w:hAnsi="Arial" w:cs="Arial"/>
          <w:i w:val="0"/>
          <w:iCs w:val="0"/>
          <w:sz w:val="28"/>
          <w:szCs w:val="28"/>
        </w:rPr>
        <w:t>au</w:t>
      </w:r>
      <w:r w:rsidR="00D56B67" w:rsidRPr="00D56B67">
        <w:rPr>
          <w:rFonts w:ascii="Arial" w:hAnsi="Arial" w:cs="Arial"/>
          <w:i w:val="0"/>
          <w:iCs w:val="0"/>
          <w:sz w:val="28"/>
          <w:szCs w:val="28"/>
          <w:vertAlign w:val="superscript"/>
        </w:rPr>
        <w:t>4</w:t>
      </w:r>
      <w:r w:rsidR="00D56B67">
        <w:rPr>
          <w:rFonts w:ascii="Arial" w:hAnsi="Arial" w:cs="Arial"/>
          <w:i w:val="0"/>
          <w:iCs w:val="0"/>
          <w:sz w:val="28"/>
          <w:szCs w:val="28"/>
        </w:rPr>
        <w:t>,</w:t>
      </w:r>
      <w:r w:rsidRPr="00D56B67">
        <w:rPr>
          <w:rFonts w:ascii="Arial" w:hAnsi="Arial" w:cs="Arial"/>
          <w:i w:val="0"/>
          <w:iCs w:val="0"/>
          <w:sz w:val="28"/>
          <w:szCs w:val="28"/>
        </w:rPr>
        <w:t xml:space="preserve"> Alina Vlad</w:t>
      </w:r>
      <w:r w:rsidRPr="00D56B67">
        <w:rPr>
          <w:rFonts w:ascii="Arial" w:hAnsi="Arial" w:cs="Arial"/>
          <w:i w:val="0"/>
          <w:iCs w:val="0"/>
          <w:sz w:val="28"/>
          <w:szCs w:val="28"/>
          <w:vertAlign w:val="superscript"/>
        </w:rPr>
        <w:t>4</w:t>
      </w:r>
      <w:r w:rsidRPr="00D56B67">
        <w:rPr>
          <w:rFonts w:ascii="Arial" w:hAnsi="Arial" w:cs="Arial"/>
          <w:i w:val="0"/>
          <w:iCs w:val="0"/>
          <w:sz w:val="28"/>
          <w:szCs w:val="28"/>
        </w:rPr>
        <w:t>, Alessandro Coati</w:t>
      </w:r>
      <w:r w:rsidRPr="00D56B67">
        <w:rPr>
          <w:rFonts w:ascii="Arial" w:hAnsi="Arial" w:cs="Arial"/>
          <w:i w:val="0"/>
          <w:iCs w:val="0"/>
          <w:sz w:val="28"/>
          <w:szCs w:val="28"/>
          <w:vertAlign w:val="superscript"/>
        </w:rPr>
        <w:t>4</w:t>
      </w:r>
      <w:r w:rsidRPr="00D56B67">
        <w:rPr>
          <w:rFonts w:ascii="Arial" w:hAnsi="Arial" w:cs="Arial"/>
          <w:i w:val="0"/>
          <w:iCs w:val="0"/>
          <w:sz w:val="28"/>
          <w:szCs w:val="28"/>
        </w:rPr>
        <w:t>, Sara Gonzalez¹</w:t>
      </w:r>
    </w:p>
    <w:p w14:paraId="696F00E8" w14:textId="77777777" w:rsidR="00337135" w:rsidRPr="00D56B67" w:rsidRDefault="00337135" w:rsidP="000F344C">
      <w:pPr>
        <w:pStyle w:val="authoraffiliation"/>
        <w:rPr>
          <w:rFonts w:ascii="Arial" w:hAnsi="Arial" w:cs="Arial"/>
          <w:i w:val="0"/>
          <w:iCs w:val="0"/>
          <w:sz w:val="28"/>
          <w:szCs w:val="28"/>
        </w:rPr>
      </w:pPr>
    </w:p>
    <w:p w14:paraId="31FBE32A" w14:textId="0CEFDFF2" w:rsidR="005166FE" w:rsidRDefault="000F344C" w:rsidP="000F344C">
      <w:pPr>
        <w:pStyle w:val="authoraffiliation"/>
        <w:rPr>
          <w:rFonts w:ascii="Arial" w:hAnsi="Arial" w:cs="Arial"/>
          <w:i w:val="0"/>
          <w:iCs w:val="0"/>
        </w:rPr>
      </w:pPr>
      <w:proofErr w:type="gramStart"/>
      <w:r w:rsidRPr="000F344C">
        <w:rPr>
          <w:rFonts w:ascii="Arial" w:hAnsi="Arial" w:cs="Arial"/>
          <w:i w:val="0"/>
          <w:iCs w:val="0"/>
        </w:rPr>
        <w:t>¹</w:t>
      </w:r>
      <w:proofErr w:type="gramEnd"/>
      <w:r w:rsidRPr="000F344C">
        <w:rPr>
          <w:rFonts w:ascii="Arial" w:hAnsi="Arial" w:cs="Arial"/>
          <w:i w:val="0"/>
          <w:iCs w:val="0"/>
        </w:rPr>
        <w:t xml:space="preserve"> CNRS, INSA Lyon, Ecole Centrale de Lyon, </w:t>
      </w:r>
      <w:proofErr w:type="spellStart"/>
      <w:r w:rsidRPr="000F344C">
        <w:rPr>
          <w:rFonts w:ascii="Arial" w:hAnsi="Arial" w:cs="Arial"/>
          <w:i w:val="0"/>
          <w:iCs w:val="0"/>
        </w:rPr>
        <w:t>Universite</w:t>
      </w:r>
      <w:proofErr w:type="spellEnd"/>
      <w:r w:rsidRPr="000F344C">
        <w:rPr>
          <w:rFonts w:ascii="Arial" w:hAnsi="Arial" w:cs="Arial"/>
          <w:i w:val="0"/>
          <w:iCs w:val="0"/>
        </w:rPr>
        <w:t xml:space="preserve"> Claude Bernard Lyon 1, CPE Lyon, INL, UMR5270, 69621 Villeurbanne, France</w:t>
      </w:r>
      <w:r w:rsidRPr="000F344C">
        <w:rPr>
          <w:rFonts w:ascii="Arial" w:hAnsi="Arial" w:cs="Arial"/>
          <w:i w:val="0"/>
          <w:iCs w:val="0"/>
        </w:rPr>
        <w:br/>
        <w:t xml:space="preserve">² INSA Lyon, Ecole Centrale de Lyon, CNRS, </w:t>
      </w:r>
      <w:proofErr w:type="spellStart"/>
      <w:r w:rsidRPr="000F344C">
        <w:rPr>
          <w:rFonts w:ascii="Arial" w:hAnsi="Arial" w:cs="Arial"/>
          <w:i w:val="0"/>
          <w:iCs w:val="0"/>
        </w:rPr>
        <w:t>Universite</w:t>
      </w:r>
      <w:proofErr w:type="spellEnd"/>
      <w:r w:rsidRPr="000F344C">
        <w:rPr>
          <w:rFonts w:ascii="Arial" w:hAnsi="Arial" w:cs="Arial"/>
          <w:i w:val="0"/>
          <w:iCs w:val="0"/>
        </w:rPr>
        <w:t xml:space="preserve"> Claude Bernard Lyon 1, CPE Lyon, INL, UMR5270, 69621 Villeurbanne, France</w:t>
      </w:r>
      <w:r w:rsidRPr="000F344C">
        <w:rPr>
          <w:rFonts w:ascii="Arial" w:hAnsi="Arial" w:cs="Arial"/>
          <w:i w:val="0"/>
          <w:iCs w:val="0"/>
        </w:rPr>
        <w:br/>
        <w:t xml:space="preserve">³ Ecole Centrale de Lyon, INSA Lyon, CNRS, </w:t>
      </w:r>
      <w:proofErr w:type="spellStart"/>
      <w:r w:rsidRPr="000F344C">
        <w:rPr>
          <w:rFonts w:ascii="Arial" w:hAnsi="Arial" w:cs="Arial"/>
          <w:i w:val="0"/>
          <w:iCs w:val="0"/>
        </w:rPr>
        <w:t>Universite</w:t>
      </w:r>
      <w:proofErr w:type="spellEnd"/>
      <w:r w:rsidRPr="000F344C">
        <w:rPr>
          <w:rFonts w:ascii="Arial" w:hAnsi="Arial" w:cs="Arial"/>
          <w:i w:val="0"/>
          <w:iCs w:val="0"/>
        </w:rPr>
        <w:t xml:space="preserve"> Claude Bernard Lyon 1, CPE Lyon, INL, UMR5270, 69621 Villeurbanne, </w:t>
      </w:r>
      <w:r w:rsidR="006579DD">
        <w:rPr>
          <w:rFonts w:ascii="Arial" w:hAnsi="Arial" w:cs="Arial"/>
          <w:i w:val="0"/>
          <w:iCs w:val="0"/>
        </w:rPr>
        <w:t>France</w:t>
      </w:r>
    </w:p>
    <w:p w14:paraId="463BEE02" w14:textId="3AABF913" w:rsidR="006579DD" w:rsidRDefault="006579DD" w:rsidP="00550DF4">
      <w:pPr>
        <w:pStyle w:val="authoraffiliation"/>
        <w:rPr>
          <w:rFonts w:ascii="Arial" w:hAnsi="Arial" w:cs="Arial"/>
          <w:i w:val="0"/>
          <w:iCs w:val="0"/>
        </w:rPr>
      </w:pPr>
      <w:r w:rsidRPr="006579DD">
        <w:rPr>
          <w:rFonts w:ascii="Arial" w:hAnsi="Arial" w:cs="Arial"/>
          <w:i w:val="0"/>
          <w:iCs w:val="0"/>
          <w:vertAlign w:val="superscript"/>
        </w:rPr>
        <w:t>4</w:t>
      </w:r>
      <w:r>
        <w:rPr>
          <w:rFonts w:ascii="Arial" w:hAnsi="Arial" w:cs="Arial"/>
          <w:i w:val="0"/>
          <w:iCs w:val="0"/>
        </w:rPr>
        <w:t xml:space="preserve"> </w:t>
      </w:r>
      <w:r w:rsidRPr="006579DD">
        <w:rPr>
          <w:rFonts w:ascii="Arial" w:hAnsi="Arial" w:cs="Arial"/>
          <w:i w:val="0"/>
          <w:iCs w:val="0"/>
        </w:rPr>
        <w:t xml:space="preserve">Synchrotron SOLEIL, L’Orme des Merisiers, </w:t>
      </w:r>
      <w:r w:rsidR="00550DF4" w:rsidRPr="00550DF4">
        <w:rPr>
          <w:rFonts w:ascii="Arial" w:hAnsi="Arial" w:cs="Arial"/>
          <w:i w:val="0"/>
          <w:iCs w:val="0"/>
        </w:rPr>
        <w:t>F-91190 Saint-Aubin, France</w:t>
      </w:r>
    </w:p>
    <w:p w14:paraId="29333EE9" w14:textId="77777777" w:rsidR="00945FD0" w:rsidRDefault="00945FD0" w:rsidP="000F344C">
      <w:pPr>
        <w:pStyle w:val="authoraffiliation"/>
        <w:rPr>
          <w:rFonts w:ascii="Arial" w:hAnsi="Arial" w:cs="Arial"/>
          <w:i w:val="0"/>
          <w:iCs w:val="0"/>
        </w:rPr>
      </w:pPr>
    </w:p>
    <w:p w14:paraId="6DFFC648" w14:textId="44F9145D" w:rsidR="00945FD0" w:rsidRPr="00945FD0" w:rsidRDefault="00945FD0" w:rsidP="00945FD0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US"/>
        </w:rPr>
        <w:t>Abstract</w:t>
      </w:r>
    </w:p>
    <w:p w14:paraId="10AB60CD" w14:textId="132FAFE1" w:rsidR="00945FD0" w:rsidRPr="00945FD0" w:rsidRDefault="00945FD0" w:rsidP="00945FD0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945FD0">
        <w:rPr>
          <w:rFonts w:ascii="Arial" w:hAnsi="Arial" w:cs="Arial"/>
          <w:sz w:val="22"/>
          <w:szCs w:val="22"/>
          <w:lang w:val="en-US"/>
        </w:rPr>
        <w:t>Ferroelectric hafnia-based oxides are promising for ultra-low-power, CMOS-compatible devices due to robust ferro/antiferroelectric responses at nanometric thickness. Among them, Hf</w:t>
      </w:r>
      <w:r w:rsidRPr="00945FD0">
        <w:rPr>
          <w:rFonts w:ascii="Arial" w:hAnsi="Arial" w:cs="Arial"/>
          <w:sz w:val="22"/>
          <w:szCs w:val="22"/>
          <w:vertAlign w:val="subscript"/>
          <w:lang w:val="en-US"/>
        </w:rPr>
        <w:t>0.5</w:t>
      </w:r>
      <w:r w:rsidRPr="00945FD0">
        <w:rPr>
          <w:rFonts w:ascii="Arial" w:hAnsi="Arial" w:cs="Arial"/>
          <w:sz w:val="22"/>
          <w:szCs w:val="22"/>
          <w:lang w:val="en-US"/>
        </w:rPr>
        <w:t>Zr</w:t>
      </w:r>
      <w:r w:rsidRPr="00945FD0">
        <w:rPr>
          <w:rFonts w:ascii="Arial" w:hAnsi="Arial" w:cs="Arial"/>
          <w:sz w:val="22"/>
          <w:szCs w:val="22"/>
          <w:vertAlign w:val="subscript"/>
          <w:lang w:val="en-US"/>
        </w:rPr>
        <w:t>0.5</w:t>
      </w:r>
      <w:r w:rsidRPr="00945FD0">
        <w:rPr>
          <w:rFonts w:ascii="Arial" w:hAnsi="Arial" w:cs="Arial"/>
          <w:sz w:val="22"/>
          <w:szCs w:val="22"/>
          <w:lang w:val="en-US"/>
        </w:rPr>
        <w:t>O</w:t>
      </w:r>
      <w:r w:rsidRPr="00945FD0">
        <w:rPr>
          <w:rFonts w:ascii="Arial" w:hAnsi="Arial" w:cs="Arial"/>
          <w:sz w:val="22"/>
          <w:szCs w:val="22"/>
          <w:vertAlign w:val="subscript"/>
          <w:lang w:val="en-US"/>
        </w:rPr>
        <w:t>2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 (HZO) can stabilize a polar orthorhombic phase enabling ferroelectricity, whereas </w:t>
      </w:r>
      <w:r w:rsidRPr="00945FD0">
        <w:rPr>
          <w:rFonts w:ascii="Arial" w:hAnsi="Arial" w:cs="Arial"/>
          <w:lang w:val="en-US"/>
        </w:rPr>
        <w:t>ZrO</w:t>
      </w:r>
      <w:r w:rsidRPr="00945FD0">
        <w:rPr>
          <w:rFonts w:ascii="Arial" w:hAnsi="Arial" w:cs="Arial"/>
          <w:vertAlign w:val="subscript"/>
          <w:lang w:val="en-US"/>
        </w:rPr>
        <w:t>2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can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 exhibit antiferroelectric behavior through field-induced transitions. Understanding how deposition route and composition control phase assemblages is essential to optimize device performance. </w:t>
      </w:r>
    </w:p>
    <w:p w14:paraId="19CC6872" w14:textId="79B290BE" w:rsidR="00945FD0" w:rsidRPr="00945FD0" w:rsidRDefault="00945FD0" w:rsidP="00945FD0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945FD0">
        <w:rPr>
          <w:rFonts w:ascii="Arial" w:hAnsi="Arial" w:cs="Arial"/>
          <w:sz w:val="22"/>
          <w:szCs w:val="22"/>
          <w:lang w:val="en-US"/>
        </w:rPr>
        <w:t xml:space="preserve">We investigate 10-nm-thick HZO and </w:t>
      </w:r>
      <w:r w:rsidRPr="00945FD0">
        <w:rPr>
          <w:rFonts w:ascii="Arial" w:hAnsi="Arial" w:cs="Arial"/>
          <w:lang w:val="en-US"/>
        </w:rPr>
        <w:t>ZrO</w:t>
      </w:r>
      <w:r w:rsidRPr="00945FD0">
        <w:rPr>
          <w:rFonts w:ascii="Arial" w:hAnsi="Arial" w:cs="Arial"/>
          <w:vertAlign w:val="subscript"/>
          <w:lang w:val="en-US"/>
        </w:rPr>
        <w:t>2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 capacitors (</w:t>
      </w:r>
      <w:proofErr w:type="spellStart"/>
      <w:r w:rsidRPr="00945FD0">
        <w:rPr>
          <w:rFonts w:ascii="Arial" w:hAnsi="Arial" w:cs="Arial"/>
          <w:sz w:val="22"/>
          <w:szCs w:val="22"/>
          <w:lang w:val="en-US"/>
        </w:rPr>
        <w:t>TiN</w:t>
      </w:r>
      <w:proofErr w:type="spellEnd"/>
      <w:r w:rsidRPr="00945FD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945FD0">
        <w:rPr>
          <w:rFonts w:ascii="Arial" w:hAnsi="Arial" w:cs="Arial"/>
          <w:sz w:val="22"/>
          <w:szCs w:val="22"/>
          <w:lang w:val="en-US"/>
        </w:rPr>
        <w:t>HfZrO</w:t>
      </w:r>
      <w:proofErr w:type="spellEnd"/>
      <w:r w:rsidRPr="00945FD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945FD0">
        <w:rPr>
          <w:rFonts w:ascii="Arial" w:hAnsi="Arial" w:cs="Arial"/>
          <w:sz w:val="22"/>
          <w:szCs w:val="22"/>
          <w:lang w:val="en-US"/>
        </w:rPr>
        <w:t>TiN</w:t>
      </w:r>
      <w:proofErr w:type="spellEnd"/>
      <w:r w:rsidRPr="00945FD0">
        <w:rPr>
          <w:rFonts w:ascii="Arial" w:hAnsi="Arial" w:cs="Arial"/>
          <w:sz w:val="22"/>
          <w:szCs w:val="22"/>
          <w:lang w:val="en-US"/>
        </w:rPr>
        <w:t xml:space="preserve"> or </w:t>
      </w:r>
      <w:proofErr w:type="spellStart"/>
      <w:r w:rsidRPr="00945FD0">
        <w:rPr>
          <w:rFonts w:ascii="Arial" w:hAnsi="Arial" w:cs="Arial"/>
          <w:sz w:val="22"/>
          <w:szCs w:val="22"/>
          <w:lang w:val="en-US"/>
        </w:rPr>
        <w:t>TiN</w:t>
      </w:r>
      <w:proofErr w:type="spellEnd"/>
      <w:r w:rsidRPr="00945FD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945FD0">
        <w:rPr>
          <w:rFonts w:ascii="Arial" w:hAnsi="Arial" w:cs="Arial"/>
          <w:sz w:val="22"/>
          <w:szCs w:val="22"/>
          <w:lang w:val="en-US"/>
        </w:rPr>
        <w:t>ZrO</w:t>
      </w:r>
      <w:proofErr w:type="spellEnd"/>
      <w:r w:rsidRPr="00945FD0">
        <w:rPr>
          <w:rFonts w:ascii="Cambria Math" w:hAnsi="Cambria Math" w:cs="Cambria Math"/>
          <w:sz w:val="22"/>
          <w:szCs w:val="22"/>
          <w:lang w:val="en-US"/>
        </w:rPr>
        <w:t>₂</w:t>
      </w:r>
      <w:r w:rsidRPr="00945FD0">
        <w:rPr>
          <w:rFonts w:ascii="Arial" w:hAnsi="Arial" w:cs="Arial"/>
          <w:sz w:val="22"/>
          <w:szCs w:val="22"/>
          <w:lang w:val="en-US"/>
        </w:rPr>
        <w:t>/</w:t>
      </w:r>
      <w:proofErr w:type="spellStart"/>
      <w:r w:rsidRPr="00945FD0">
        <w:rPr>
          <w:rFonts w:ascii="Arial" w:hAnsi="Arial" w:cs="Arial"/>
          <w:sz w:val="22"/>
          <w:szCs w:val="22"/>
          <w:lang w:val="en-US"/>
        </w:rPr>
        <w:t>TiN</w:t>
      </w:r>
      <w:proofErr w:type="spellEnd"/>
      <w:r w:rsidRPr="00945FD0">
        <w:rPr>
          <w:rFonts w:ascii="Arial" w:hAnsi="Arial" w:cs="Arial"/>
          <w:sz w:val="22"/>
          <w:szCs w:val="22"/>
          <w:lang w:val="en-US"/>
        </w:rPr>
        <w:t xml:space="preserve"> on Si) prepared by atomic layer deposition (ALD) and RF sputtering. Grazing-incidence synchrotron X-ray diffraction (GIXRD) with </w:t>
      </w:r>
      <w:r w:rsidRPr="00945FD0">
        <w:rPr>
          <w:rFonts w:ascii="Arial" w:hAnsi="Arial" w:cs="Arial"/>
          <w:sz w:val="22"/>
          <w:szCs w:val="22"/>
        </w:rPr>
        <w:t>θ</w:t>
      </w:r>
      <w:r w:rsidRPr="00945FD0">
        <w:rPr>
          <w:rFonts w:ascii="Arial" w:hAnsi="Arial" w:cs="Arial"/>
          <w:sz w:val="22"/>
          <w:szCs w:val="22"/>
          <w:lang w:val="en-US"/>
        </w:rPr>
        <w:t>–2</w:t>
      </w:r>
      <w:r w:rsidRPr="00945FD0">
        <w:rPr>
          <w:rFonts w:ascii="Arial" w:hAnsi="Arial" w:cs="Arial"/>
          <w:sz w:val="22"/>
          <w:szCs w:val="22"/>
        </w:rPr>
        <w:t>θ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 scans and reciprocal-space mapping enables phase-sensitive analysis despite ultrathin films, resolving monoclinic, tetragonal, and orthorhombic fluorite-derived structures. The grazing geometry and high reciprocal-space resolution further reveal microstructural signatures</w:t>
      </w:r>
      <w:r>
        <w:rPr>
          <w:rFonts w:ascii="Arial" w:hAnsi="Arial" w:cs="Arial"/>
          <w:sz w:val="22"/>
          <w:szCs w:val="22"/>
          <w:lang w:val="en-US"/>
        </w:rPr>
        <w:t xml:space="preserve">: </w:t>
      </w:r>
      <w:r w:rsidRPr="00945FD0">
        <w:rPr>
          <w:rFonts w:ascii="Arial" w:hAnsi="Arial" w:cs="Arial"/>
          <w:sz w:val="22"/>
          <w:szCs w:val="22"/>
          <w:lang w:val="en-US"/>
        </w:rPr>
        <w:t>texture/preferential orientation and grain-size trends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945FD0">
        <w:rPr>
          <w:rFonts w:ascii="Arial" w:hAnsi="Arial" w:cs="Arial"/>
          <w:sz w:val="22"/>
          <w:szCs w:val="22"/>
          <w:lang w:val="en-US"/>
        </w:rPr>
        <w:t>systematically dependent on growth method and chemistry.</w:t>
      </w:r>
    </w:p>
    <w:p w14:paraId="51CF9D2D" w14:textId="61033717" w:rsidR="00945FD0" w:rsidRPr="00945FD0" w:rsidRDefault="00945FD0" w:rsidP="00945FD0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945FD0">
        <w:rPr>
          <w:rFonts w:ascii="Arial" w:hAnsi="Arial" w:cs="Arial"/>
          <w:sz w:val="22"/>
          <w:szCs w:val="22"/>
          <w:lang w:val="en-US"/>
        </w:rPr>
        <w:t>Electrical measurements performed on the same test structures (</w:t>
      </w:r>
      <w:r>
        <w:rPr>
          <w:rFonts w:ascii="Arial" w:hAnsi="Arial" w:cs="Arial"/>
          <w:sz w:val="22"/>
          <w:szCs w:val="22"/>
          <w:lang w:val="en-US"/>
        </w:rPr>
        <w:t>Dynamic Hysteresis Measurements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) establish quantitative links between structure and </w:t>
      </w:r>
      <w:r>
        <w:rPr>
          <w:rFonts w:ascii="Arial" w:hAnsi="Arial" w:cs="Arial"/>
          <w:sz w:val="22"/>
          <w:szCs w:val="22"/>
          <w:lang w:val="en-US"/>
        </w:rPr>
        <w:t>properties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. In HZO, ALD tends to favor higher fractions of the polar orthorhombic phase with correspondingly stronger ferroelectric switching; sputtered HZO shows comparatively reduced polar content and weaker remanence. In </w:t>
      </w:r>
      <w:r w:rsidRPr="00945FD0">
        <w:rPr>
          <w:rFonts w:ascii="Arial" w:hAnsi="Arial" w:cs="Arial"/>
          <w:lang w:val="en-US"/>
        </w:rPr>
        <w:t>ZrO</w:t>
      </w:r>
      <w:r w:rsidRPr="00945FD0">
        <w:rPr>
          <w:rFonts w:ascii="Arial" w:hAnsi="Arial" w:cs="Arial"/>
          <w:vertAlign w:val="subscript"/>
          <w:lang w:val="en-US"/>
        </w:rPr>
        <w:t>2</w:t>
      </w:r>
      <w:r w:rsidRPr="00945FD0">
        <w:rPr>
          <w:rFonts w:ascii="Arial" w:hAnsi="Arial" w:cs="Arial"/>
          <w:sz w:val="22"/>
          <w:szCs w:val="22"/>
          <w:lang w:val="en-US"/>
        </w:rPr>
        <w:t>, both routes stabilize predominantly tetragonal, centrosymmetric character at rest</w:t>
      </w:r>
      <w:r>
        <w:rPr>
          <w:rFonts w:ascii="Arial" w:hAnsi="Arial" w:cs="Arial"/>
          <w:sz w:val="22"/>
          <w:szCs w:val="22"/>
          <w:lang w:val="en-US"/>
        </w:rPr>
        <w:t xml:space="preserve">, 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consistent with antiferroelectric-like double-loop behavior. The combined structural–electrical picture clarifies how processing </w:t>
      </w:r>
      <w:r>
        <w:rPr>
          <w:rFonts w:ascii="Arial" w:hAnsi="Arial" w:cs="Arial"/>
          <w:sz w:val="22"/>
          <w:szCs w:val="22"/>
          <w:lang w:val="en-US"/>
        </w:rPr>
        <w:t>parameters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 tune phase fractions, offering a practical pathway to engineer device-level metrics (coercive field, remanent polarization, and energy-storage figures) by targeted control of deposition conditions.</w:t>
      </w:r>
    </w:p>
    <w:p w14:paraId="1F8EEAEF" w14:textId="10014DFD" w:rsidR="005166FE" w:rsidRPr="00945FD0" w:rsidRDefault="00945FD0" w:rsidP="00945FD0">
      <w:pPr>
        <w:pStyle w:val="paragraph"/>
        <w:rPr>
          <w:rFonts w:ascii="Arial" w:hAnsi="Arial" w:cs="Arial"/>
          <w:sz w:val="22"/>
          <w:szCs w:val="22"/>
          <w:lang w:val="en-US"/>
        </w:rPr>
      </w:pPr>
      <w:r w:rsidRPr="00945FD0">
        <w:rPr>
          <w:rFonts w:ascii="Arial" w:hAnsi="Arial" w:cs="Arial"/>
          <w:sz w:val="22"/>
          <w:szCs w:val="22"/>
          <w:lang w:val="en-US"/>
        </w:rPr>
        <w:t xml:space="preserve">These results provide a comparative, probe-consistent map of phase stabilization across HZO and </w:t>
      </w:r>
      <w:r w:rsidRPr="00945FD0">
        <w:rPr>
          <w:rFonts w:ascii="Arial" w:hAnsi="Arial" w:cs="Arial"/>
          <w:lang w:val="en-US"/>
        </w:rPr>
        <w:t>ZrO</w:t>
      </w:r>
      <w:r w:rsidRPr="00945FD0">
        <w:rPr>
          <w:rFonts w:ascii="Arial" w:hAnsi="Arial" w:cs="Arial"/>
          <w:vertAlign w:val="subscript"/>
          <w:lang w:val="en-US"/>
        </w:rPr>
        <w:t>2</w:t>
      </w:r>
      <w:r w:rsidRPr="00945FD0">
        <w:rPr>
          <w:rFonts w:ascii="Arial" w:hAnsi="Arial" w:cs="Arial"/>
          <w:sz w:val="22"/>
          <w:szCs w:val="22"/>
          <w:lang w:val="en-US"/>
        </w:rPr>
        <w:t xml:space="preserve"> stacks, delivering guidance for integrating hafnia-based ferroelectrics and </w:t>
      </w:r>
      <w:proofErr w:type="spellStart"/>
      <w:r w:rsidRPr="00945FD0">
        <w:rPr>
          <w:rFonts w:ascii="Arial" w:hAnsi="Arial" w:cs="Arial"/>
          <w:sz w:val="22"/>
          <w:szCs w:val="22"/>
          <w:lang w:val="en-US"/>
        </w:rPr>
        <w:t>antiferroelectrics</w:t>
      </w:r>
      <w:proofErr w:type="spellEnd"/>
      <w:r w:rsidRPr="00945FD0">
        <w:rPr>
          <w:rFonts w:ascii="Arial" w:hAnsi="Arial" w:cs="Arial"/>
          <w:sz w:val="22"/>
          <w:szCs w:val="22"/>
          <w:lang w:val="en-US"/>
        </w:rPr>
        <w:t xml:space="preserve"> into next-generation memory and energy-efficient electronics.</w:t>
      </w:r>
      <w:r w:rsidR="005166FE" w:rsidRPr="002E40F1">
        <w:rPr>
          <w:rFonts w:ascii="Arial" w:hAnsi="Arial" w:cs="Arial"/>
          <w:sz w:val="22"/>
          <w:szCs w:val="22"/>
          <w:lang w:val="en-US"/>
        </w:rPr>
        <w:t> </w:t>
      </w:r>
    </w:p>
    <w:p w14:paraId="48D7A58B" w14:textId="5A03A7E4" w:rsidR="005166FE" w:rsidRPr="00297F1D" w:rsidRDefault="005166FE" w:rsidP="005166FE">
      <w:pPr>
        <w:pStyle w:val="Titre1"/>
        <w:rPr>
          <w:rFonts w:ascii="Arial" w:hAnsi="Arial" w:cs="Arial"/>
          <w:caps w:val="0"/>
          <w:color w:val="0000FF"/>
          <w:sz w:val="22"/>
          <w:szCs w:val="22"/>
          <w:lang w:val="en-GB"/>
        </w:rPr>
      </w:pPr>
      <w:r w:rsidRPr="002E40F1">
        <w:rPr>
          <w:rFonts w:ascii="Arial" w:hAnsi="Arial" w:cs="Arial"/>
          <w:sz w:val="22"/>
          <w:szCs w:val="22"/>
          <w:lang w:val="en-US"/>
        </w:rPr>
        <w:t>References</w:t>
      </w:r>
    </w:p>
    <w:p w14:paraId="75E147BD" w14:textId="05F28F82" w:rsidR="00945FD0" w:rsidRPr="00945FD0" w:rsidRDefault="00945FD0" w:rsidP="00945FD0">
      <w:pPr>
        <w:pStyle w:val="reference"/>
        <w:rPr>
          <w:rFonts w:ascii="Arial" w:hAnsi="Arial" w:cs="Arial"/>
          <w:sz w:val="15"/>
          <w:szCs w:val="15"/>
        </w:rPr>
      </w:pPr>
      <w:r>
        <w:rPr>
          <w:rFonts w:ascii="Arial" w:hAnsi="Arial" w:cs="Arial"/>
          <w:sz w:val="15"/>
          <w:szCs w:val="15"/>
        </w:rPr>
        <w:t>1.</w:t>
      </w:r>
      <w:r w:rsidRPr="00945FD0">
        <w:rPr>
          <w:rFonts w:ascii="Arial" w:hAnsi="Arial" w:cs="Arial"/>
          <w:sz w:val="15"/>
          <w:szCs w:val="15"/>
        </w:rPr>
        <w:t xml:space="preserve"> S. Cheema et al., Nature 629, 803–809 (2024).</w:t>
      </w:r>
    </w:p>
    <w:p w14:paraId="5E8A1612" w14:textId="1DAEA212" w:rsidR="00945FD0" w:rsidRPr="00945FD0" w:rsidRDefault="00945FD0" w:rsidP="00945FD0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945FD0">
        <w:rPr>
          <w:rFonts w:ascii="Arial" w:hAnsi="Arial" w:cs="Arial"/>
          <w:sz w:val="15"/>
          <w:szCs w:val="15"/>
          <w:lang w:val="en-US"/>
        </w:rPr>
        <w:t>2. G. Magagnin et al., APL Materials 12, 07 (2024).</w:t>
      </w:r>
    </w:p>
    <w:p w14:paraId="1964F1DD" w14:textId="096BA0F7" w:rsidR="005166FE" w:rsidRPr="00945FD0" w:rsidRDefault="00945FD0" w:rsidP="00945FD0">
      <w:pPr>
        <w:pStyle w:val="reference"/>
        <w:rPr>
          <w:rFonts w:ascii="Arial" w:hAnsi="Arial" w:cs="Arial"/>
          <w:sz w:val="15"/>
          <w:szCs w:val="15"/>
          <w:lang w:val="en-US"/>
        </w:rPr>
      </w:pPr>
      <w:r w:rsidRPr="00945FD0">
        <w:rPr>
          <w:rFonts w:ascii="Arial" w:hAnsi="Arial" w:cs="Arial"/>
          <w:sz w:val="15"/>
          <w:szCs w:val="15"/>
          <w:lang w:val="en-US"/>
        </w:rPr>
        <w:t>3. J. Silva et al., Applied Materials Today 30, 101708 (2023).</w:t>
      </w:r>
    </w:p>
    <w:sectPr w:rsidR="005166FE" w:rsidRPr="00945F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66FE"/>
    <w:rsid w:val="00041ED8"/>
    <w:rsid w:val="000F344C"/>
    <w:rsid w:val="00297F1D"/>
    <w:rsid w:val="002E40F1"/>
    <w:rsid w:val="00337135"/>
    <w:rsid w:val="005166FE"/>
    <w:rsid w:val="00550DF4"/>
    <w:rsid w:val="0063764B"/>
    <w:rsid w:val="006477D0"/>
    <w:rsid w:val="006579DD"/>
    <w:rsid w:val="006975DB"/>
    <w:rsid w:val="007E7378"/>
    <w:rsid w:val="008D4E08"/>
    <w:rsid w:val="0091292E"/>
    <w:rsid w:val="00945FD0"/>
    <w:rsid w:val="009D2760"/>
    <w:rsid w:val="00AB1846"/>
    <w:rsid w:val="00B06DCF"/>
    <w:rsid w:val="00C86B52"/>
    <w:rsid w:val="00CF36A0"/>
    <w:rsid w:val="00D56B67"/>
    <w:rsid w:val="00DF3681"/>
    <w:rsid w:val="00E30A4A"/>
    <w:rsid w:val="00FE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D79D"/>
  <w15:chartTrackingRefBased/>
  <w15:docId w15:val="{3D3F9E7F-7217-468F-BD91-F8A20A3CA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qFormat/>
    <w:rsid w:val="005166FE"/>
    <w:pPr>
      <w:keepNext/>
      <w:spacing w:before="240" w:after="240"/>
      <w:jc w:val="center"/>
      <w:outlineLvl w:val="0"/>
    </w:pPr>
    <w:rPr>
      <w:b/>
      <w:bCs/>
      <w:caps/>
      <w:kern w:val="36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apertitle">
    <w:name w:val="papertitle"/>
    <w:basedOn w:val="Normal"/>
    <w:rsid w:val="005166FE"/>
    <w:pPr>
      <w:spacing w:before="960"/>
      <w:jc w:val="center"/>
    </w:pPr>
    <w:rPr>
      <w:b/>
      <w:bCs/>
      <w:sz w:val="36"/>
      <w:szCs w:val="36"/>
    </w:rPr>
  </w:style>
  <w:style w:type="paragraph" w:customStyle="1" w:styleId="paperauthor">
    <w:name w:val="paperauthor"/>
    <w:basedOn w:val="Normal"/>
    <w:rsid w:val="005166FE"/>
    <w:pPr>
      <w:spacing w:before="360" w:after="360"/>
      <w:jc w:val="center"/>
    </w:pPr>
    <w:rPr>
      <w:sz w:val="28"/>
      <w:szCs w:val="28"/>
    </w:rPr>
  </w:style>
  <w:style w:type="paragraph" w:customStyle="1" w:styleId="authoraffiliation">
    <w:name w:val="authoraffiliation"/>
    <w:basedOn w:val="Normal"/>
    <w:rsid w:val="005166FE"/>
    <w:pPr>
      <w:jc w:val="center"/>
    </w:pPr>
    <w:rPr>
      <w:i/>
      <w:iCs/>
      <w:sz w:val="20"/>
      <w:szCs w:val="20"/>
    </w:rPr>
  </w:style>
  <w:style w:type="paragraph" w:customStyle="1" w:styleId="paragraph">
    <w:name w:val="paragraph"/>
    <w:basedOn w:val="Normal"/>
    <w:rsid w:val="005166FE"/>
    <w:pPr>
      <w:ind w:firstLine="274"/>
      <w:jc w:val="both"/>
    </w:pPr>
    <w:rPr>
      <w:sz w:val="20"/>
      <w:szCs w:val="20"/>
    </w:rPr>
  </w:style>
  <w:style w:type="paragraph" w:customStyle="1" w:styleId="reference">
    <w:name w:val="reference"/>
    <w:basedOn w:val="Normal"/>
    <w:rsid w:val="005166FE"/>
    <w:pPr>
      <w:ind w:left="274" w:hanging="274"/>
      <w:jc w:val="both"/>
    </w:pPr>
    <w:rPr>
      <w:sz w:val="18"/>
      <w:szCs w:val="18"/>
    </w:rPr>
  </w:style>
  <w:style w:type="paragraph" w:customStyle="1" w:styleId="equation">
    <w:name w:val="equation"/>
    <w:basedOn w:val="Normal"/>
    <w:rsid w:val="005166FE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FRAISS~1\LOCALS~1\Temp\TEMPLATE3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TEMPLATE3</Template>
  <TotalTime>52</TotalTime>
  <Pages>1</Pages>
  <Words>474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The Title Goes Here With Each Initial Letter Capitalized</vt:lpstr>
    </vt:vector>
  </TitlesOfParts>
  <Company>Synchrotron SOLEIL</Company>
  <LinksUpToDate>false</LinksUpToDate>
  <CharactersWithSpaces>3077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Title Goes Here With Each Initial Letter Capitalized</dc:title>
  <dc:subject/>
  <dc:creator>fraissard</dc:creator>
  <cp:keywords/>
  <dc:description/>
  <cp:lastModifiedBy>Grégoire Magagnin</cp:lastModifiedBy>
  <cp:revision>6</cp:revision>
  <cp:lastPrinted>1899-12-31T23:00:00Z</cp:lastPrinted>
  <dcterms:created xsi:type="dcterms:W3CDTF">2022-06-13T07:16:00Z</dcterms:created>
  <dcterms:modified xsi:type="dcterms:W3CDTF">2025-11-05T14:55:00Z</dcterms:modified>
</cp:coreProperties>
</file>