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B4C9C" w14:textId="36026D85" w:rsidR="00EF3B71" w:rsidRPr="00EF3B71" w:rsidRDefault="00EF3B71" w:rsidP="00EF3B71">
      <w:pPr>
        <w:spacing w:line="264" w:lineRule="auto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  <w:r w:rsidRPr="00EF3B71">
        <w:rPr>
          <w:rFonts w:ascii="Arial" w:hAnsi="Arial" w:cs="Arial"/>
          <w:b/>
          <w:bCs/>
          <w:sz w:val="36"/>
          <w:szCs w:val="36"/>
          <w:lang w:val="en-GB"/>
        </w:rPr>
        <w:t>Synchrotron-Assisted HPHT Annealing Of Quantum Nanodiamonds: In Situ Control Of Phase Stability</w:t>
      </w:r>
    </w:p>
    <w:p w14:paraId="1C8FABD3" w14:textId="77777777" w:rsidR="00EF3B71" w:rsidRDefault="00EF3B71" w:rsidP="00EF3B71">
      <w:pPr>
        <w:spacing w:line="264" w:lineRule="auto"/>
        <w:jc w:val="both"/>
        <w:rPr>
          <w:lang w:val="en-GB"/>
        </w:rPr>
      </w:pPr>
    </w:p>
    <w:p w14:paraId="10822B99" w14:textId="5FD22089" w:rsidR="00EF3B71" w:rsidRDefault="00EF3B71" w:rsidP="00EF3B71">
      <w:pPr>
        <w:spacing w:line="264" w:lineRule="auto"/>
        <w:jc w:val="center"/>
        <w:rPr>
          <w:rFonts w:ascii="Arial" w:hAnsi="Arial" w:cs="Arial"/>
          <w:bCs/>
          <w:sz w:val="28"/>
          <w:szCs w:val="28"/>
          <w:vertAlign w:val="superscript"/>
          <w:lang w:val="en-GB"/>
        </w:rPr>
      </w:pPr>
      <w:r w:rsidRPr="00EF3B71">
        <w:rPr>
          <w:rFonts w:ascii="Arial" w:hAnsi="Arial" w:cs="Arial"/>
          <w:sz w:val="28"/>
          <w:szCs w:val="28"/>
          <w:lang w:val="en-GB"/>
        </w:rPr>
        <w:t>B. Yavkin</w:t>
      </w:r>
      <w:r w:rsidRPr="00EF3B71">
        <w:rPr>
          <w:rFonts w:ascii="Arial" w:hAnsi="Arial" w:cs="Arial"/>
          <w:bCs/>
          <w:sz w:val="28"/>
          <w:szCs w:val="28"/>
          <w:vertAlign w:val="superscript"/>
          <w:lang w:val="en-GB"/>
        </w:rPr>
        <w:t>1</w:t>
      </w:r>
      <w:r w:rsidRPr="00EF3B71">
        <w:rPr>
          <w:rFonts w:ascii="Arial" w:hAnsi="Arial" w:cs="Arial"/>
          <w:bCs/>
          <w:sz w:val="28"/>
          <w:szCs w:val="28"/>
          <w:lang w:val="en-GB"/>
        </w:rPr>
        <w:t xml:space="preserve">, </w:t>
      </w:r>
      <w:r w:rsidRPr="00EF3B71">
        <w:rPr>
          <w:rFonts w:ascii="Arial" w:hAnsi="Arial" w:cs="Arial"/>
          <w:sz w:val="28"/>
          <w:szCs w:val="28"/>
          <w:lang w:val="en-GB"/>
        </w:rPr>
        <w:t>K. O. Ho</w:t>
      </w:r>
      <w:r w:rsidRPr="00EF3B71">
        <w:rPr>
          <w:rFonts w:ascii="Arial" w:hAnsi="Arial" w:cs="Arial"/>
          <w:bCs/>
          <w:sz w:val="28"/>
          <w:szCs w:val="28"/>
          <w:vertAlign w:val="superscript"/>
          <w:lang w:val="en-GB"/>
        </w:rPr>
        <w:t>1</w:t>
      </w:r>
      <w:r w:rsidRPr="00EF3B71">
        <w:rPr>
          <w:rFonts w:ascii="Arial" w:hAnsi="Arial" w:cs="Arial"/>
          <w:sz w:val="28"/>
          <w:szCs w:val="28"/>
          <w:lang w:val="en-GB"/>
        </w:rPr>
        <w:t>, L. Henry</w:t>
      </w:r>
      <w:r w:rsidRPr="00EF3B71">
        <w:rPr>
          <w:rFonts w:ascii="Arial" w:hAnsi="Arial" w:cs="Arial"/>
          <w:bCs/>
          <w:sz w:val="28"/>
          <w:szCs w:val="28"/>
          <w:vertAlign w:val="superscript"/>
          <w:lang w:val="en-GB"/>
        </w:rPr>
        <w:t>2</w:t>
      </w:r>
      <w:r w:rsidRPr="00EF3B71">
        <w:rPr>
          <w:rFonts w:ascii="Arial" w:hAnsi="Arial" w:cs="Arial"/>
          <w:sz w:val="28"/>
          <w:szCs w:val="28"/>
          <w:lang w:val="en-GB"/>
        </w:rPr>
        <w:t xml:space="preserve">, </w:t>
      </w:r>
      <w:r w:rsidRPr="00EF3B71">
        <w:rPr>
          <w:rFonts w:ascii="Arial" w:hAnsi="Arial" w:cs="Arial"/>
          <w:bCs/>
          <w:sz w:val="28"/>
          <w:szCs w:val="28"/>
          <w:lang w:val="en-GB"/>
        </w:rPr>
        <w:t>N. Guignot</w:t>
      </w:r>
      <w:r w:rsidRPr="00EF3B71">
        <w:rPr>
          <w:rFonts w:ascii="Arial" w:hAnsi="Arial" w:cs="Arial"/>
          <w:bCs/>
          <w:sz w:val="28"/>
          <w:szCs w:val="28"/>
          <w:vertAlign w:val="superscript"/>
          <w:lang w:val="en-GB"/>
        </w:rPr>
        <w:t>2</w:t>
      </w:r>
      <w:r w:rsidRPr="00EF3B71">
        <w:rPr>
          <w:rFonts w:ascii="Arial" w:hAnsi="Arial" w:cs="Arial"/>
          <w:bCs/>
          <w:sz w:val="28"/>
          <w:szCs w:val="28"/>
          <w:lang w:val="en-GB"/>
        </w:rPr>
        <w:t>, M.-P. Adam</w:t>
      </w:r>
      <w:r w:rsidRPr="00EF3B71">
        <w:rPr>
          <w:rFonts w:ascii="Arial" w:hAnsi="Arial" w:cs="Arial"/>
          <w:bCs/>
          <w:sz w:val="28"/>
          <w:szCs w:val="28"/>
          <w:vertAlign w:val="superscript"/>
          <w:lang w:val="en-GB"/>
        </w:rPr>
        <w:t>1</w:t>
      </w:r>
      <w:r w:rsidRPr="00EF3B71">
        <w:rPr>
          <w:rFonts w:ascii="Arial" w:hAnsi="Arial" w:cs="Arial"/>
          <w:bCs/>
          <w:sz w:val="28"/>
          <w:szCs w:val="28"/>
          <w:lang w:val="en-GB"/>
        </w:rPr>
        <w:t>, P. Goldner</w:t>
      </w:r>
      <w:r w:rsidRPr="00EF3B71">
        <w:rPr>
          <w:rFonts w:ascii="Arial" w:hAnsi="Arial" w:cs="Arial"/>
          <w:bCs/>
          <w:sz w:val="28"/>
          <w:szCs w:val="28"/>
          <w:vertAlign w:val="superscript"/>
          <w:lang w:val="en-GB"/>
        </w:rPr>
        <w:t>4</w:t>
      </w:r>
      <w:r w:rsidRPr="00EF3B71">
        <w:rPr>
          <w:rFonts w:ascii="Arial" w:hAnsi="Arial" w:cs="Arial"/>
          <w:bCs/>
          <w:sz w:val="28"/>
          <w:szCs w:val="28"/>
          <w:lang w:val="en-GB"/>
        </w:rPr>
        <w:t>, F. Bénédic</w:t>
      </w:r>
      <w:r w:rsidRPr="00EF3B71">
        <w:rPr>
          <w:rFonts w:ascii="Arial" w:hAnsi="Arial" w:cs="Arial"/>
          <w:bCs/>
          <w:sz w:val="28"/>
          <w:szCs w:val="28"/>
          <w:vertAlign w:val="superscript"/>
          <w:lang w:val="en-GB"/>
        </w:rPr>
        <w:t>3</w:t>
      </w:r>
      <w:r w:rsidRPr="00EF3B71">
        <w:rPr>
          <w:rFonts w:ascii="Arial" w:hAnsi="Arial" w:cs="Arial"/>
          <w:bCs/>
          <w:sz w:val="28"/>
          <w:szCs w:val="28"/>
          <w:lang w:val="en-GB"/>
        </w:rPr>
        <w:t>, J.-F. Roch</w:t>
      </w:r>
      <w:r w:rsidRPr="00EF3B71">
        <w:rPr>
          <w:rFonts w:ascii="Arial" w:hAnsi="Arial" w:cs="Arial"/>
          <w:bCs/>
          <w:sz w:val="28"/>
          <w:szCs w:val="28"/>
          <w:vertAlign w:val="superscript"/>
          <w:lang w:val="en-GB"/>
        </w:rPr>
        <w:t>1</w:t>
      </w:r>
      <w:r w:rsidRPr="00EF3B71">
        <w:rPr>
          <w:rFonts w:ascii="Arial" w:hAnsi="Arial" w:cs="Arial"/>
          <w:bCs/>
          <w:sz w:val="28"/>
          <w:szCs w:val="28"/>
          <w:lang w:val="en-GB"/>
        </w:rPr>
        <w:t xml:space="preserve">, </w:t>
      </w:r>
      <w:r w:rsidRPr="00EF3B71">
        <w:rPr>
          <w:rFonts w:ascii="Arial" w:hAnsi="Arial" w:cs="Arial"/>
          <w:bCs/>
          <w:sz w:val="28"/>
          <w:szCs w:val="28"/>
          <w:u w:val="single"/>
          <w:lang w:val="en-GB"/>
        </w:rPr>
        <w:t>M. De Feudis</w:t>
      </w:r>
      <w:r w:rsidRPr="00EF3B71">
        <w:rPr>
          <w:rFonts w:ascii="Arial" w:hAnsi="Arial" w:cs="Arial"/>
          <w:bCs/>
          <w:sz w:val="28"/>
          <w:szCs w:val="28"/>
          <w:vertAlign w:val="superscript"/>
          <w:lang w:val="en-GB"/>
        </w:rPr>
        <w:t>4,5,*</w:t>
      </w:r>
    </w:p>
    <w:p w14:paraId="1B37032F" w14:textId="77777777" w:rsidR="00EF3B71" w:rsidRPr="00EF3B71" w:rsidRDefault="00EF3B71" w:rsidP="00EF3B71">
      <w:pPr>
        <w:spacing w:line="264" w:lineRule="auto"/>
        <w:jc w:val="center"/>
        <w:rPr>
          <w:rFonts w:ascii="Arial" w:hAnsi="Arial" w:cs="Arial"/>
          <w:bCs/>
          <w:i/>
          <w:iCs/>
          <w:sz w:val="20"/>
          <w:szCs w:val="20"/>
          <w:lang w:val="en-GB"/>
        </w:rPr>
      </w:pPr>
    </w:p>
    <w:p w14:paraId="75767273" w14:textId="77777777" w:rsidR="00EF3B71" w:rsidRPr="00EF3B71" w:rsidRDefault="00EF3B71" w:rsidP="00EF3B71">
      <w:pPr>
        <w:spacing w:line="264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EF3B71">
        <w:rPr>
          <w:rFonts w:ascii="Arial" w:hAnsi="Arial" w:cs="Arial"/>
          <w:i/>
          <w:iCs/>
          <w:sz w:val="20"/>
          <w:szCs w:val="20"/>
          <w:vertAlign w:val="superscript"/>
        </w:rPr>
        <w:t>1</w:t>
      </w:r>
      <w:r w:rsidRPr="00EF3B71">
        <w:rPr>
          <w:rFonts w:ascii="Arial" w:hAnsi="Arial" w:cs="Arial"/>
          <w:i/>
          <w:iCs/>
          <w:sz w:val="20"/>
          <w:szCs w:val="20"/>
        </w:rPr>
        <w:t xml:space="preserve"> Université Paris-Saclay, CNRS, ENS Paris-Saclay, </w:t>
      </w:r>
      <w:proofErr w:type="spellStart"/>
      <w:r w:rsidRPr="00EF3B71">
        <w:rPr>
          <w:rFonts w:ascii="Arial" w:hAnsi="Arial" w:cs="Arial"/>
          <w:i/>
          <w:iCs/>
          <w:sz w:val="20"/>
          <w:szCs w:val="20"/>
        </w:rPr>
        <w:t>CentraleSupelec</w:t>
      </w:r>
      <w:proofErr w:type="spellEnd"/>
      <w:r w:rsidRPr="00EF3B71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EF3B71">
        <w:rPr>
          <w:rFonts w:ascii="Arial" w:hAnsi="Arial" w:cs="Arial"/>
          <w:i/>
          <w:iCs/>
          <w:sz w:val="20"/>
          <w:szCs w:val="20"/>
        </w:rPr>
        <w:t>LuMIn</w:t>
      </w:r>
      <w:proofErr w:type="spellEnd"/>
      <w:r w:rsidRPr="00EF3B71">
        <w:rPr>
          <w:rFonts w:ascii="Arial" w:hAnsi="Arial" w:cs="Arial"/>
          <w:i/>
          <w:iCs/>
          <w:sz w:val="20"/>
          <w:szCs w:val="20"/>
        </w:rPr>
        <w:t>, F-91190 Gif-sur-Yvette, France.</w:t>
      </w:r>
    </w:p>
    <w:p w14:paraId="5C1194D2" w14:textId="77777777" w:rsidR="00EF3B71" w:rsidRPr="00EF3B71" w:rsidRDefault="00EF3B71" w:rsidP="00EF3B71">
      <w:pPr>
        <w:spacing w:line="264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EF3B71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Pr="00EF3B71">
        <w:rPr>
          <w:rFonts w:ascii="Arial" w:hAnsi="Arial" w:cs="Arial"/>
          <w:i/>
          <w:iCs/>
          <w:sz w:val="20"/>
          <w:szCs w:val="20"/>
        </w:rPr>
        <w:t xml:space="preserve"> Synchrotron SOLEIL, L’Orme des Merisiers, Saint-Aubin, 91192 Gif-sur-Yvette, France.</w:t>
      </w:r>
    </w:p>
    <w:p w14:paraId="29871D9F" w14:textId="77777777" w:rsidR="00EF3B71" w:rsidRPr="00EF3B71" w:rsidRDefault="00EF3B71" w:rsidP="00EF3B71">
      <w:pPr>
        <w:spacing w:line="264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EF3B71">
        <w:rPr>
          <w:rFonts w:ascii="Arial" w:hAnsi="Arial" w:cs="Arial"/>
          <w:i/>
          <w:iCs/>
          <w:sz w:val="20"/>
          <w:szCs w:val="20"/>
          <w:vertAlign w:val="superscript"/>
        </w:rPr>
        <w:t>3</w:t>
      </w:r>
      <w:r w:rsidRPr="00EF3B71">
        <w:rPr>
          <w:rFonts w:ascii="Arial" w:hAnsi="Arial" w:cs="Arial"/>
          <w:i/>
          <w:iCs/>
          <w:sz w:val="20"/>
          <w:szCs w:val="20"/>
        </w:rPr>
        <w:t xml:space="preserve"> Laboratoire des Sciences des Procédés et des Matériaux, UPR CNRS 3407, Université Sorbonne Paris Nord, 93430 Villetaneuse, France.</w:t>
      </w:r>
    </w:p>
    <w:p w14:paraId="3F8834BA" w14:textId="77777777" w:rsidR="00EF3B71" w:rsidRPr="00EF3B71" w:rsidRDefault="00EF3B71" w:rsidP="00EF3B71">
      <w:pPr>
        <w:spacing w:line="264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EF3B71">
        <w:rPr>
          <w:rFonts w:ascii="Arial" w:hAnsi="Arial" w:cs="Arial"/>
          <w:i/>
          <w:iCs/>
          <w:sz w:val="20"/>
          <w:szCs w:val="20"/>
          <w:vertAlign w:val="superscript"/>
        </w:rPr>
        <w:t>4</w:t>
      </w:r>
      <w:r w:rsidRPr="00EF3B71">
        <w:rPr>
          <w:rFonts w:ascii="Arial" w:hAnsi="Arial" w:cs="Arial"/>
          <w:i/>
          <w:iCs/>
          <w:sz w:val="20"/>
          <w:szCs w:val="20"/>
        </w:rPr>
        <w:t xml:space="preserve"> Institut de Recherche de Chimie Paris, Chimie ParisTech, </w:t>
      </w:r>
      <w:r w:rsidRPr="00EF3B71">
        <w:rPr>
          <w:rFonts w:ascii="Arial" w:hAnsi="Arial" w:cs="Arial"/>
          <w:i/>
          <w:iCs/>
          <w:sz w:val="20"/>
          <w:szCs w:val="20"/>
          <w:shd w:val="clear" w:color="auto" w:fill="FDFDFD"/>
        </w:rPr>
        <w:t xml:space="preserve">UMR </w:t>
      </w:r>
      <w:r w:rsidRPr="00EF3B71">
        <w:rPr>
          <w:rFonts w:ascii="Arial" w:hAnsi="Arial" w:cs="Arial"/>
          <w:i/>
          <w:iCs/>
          <w:sz w:val="20"/>
          <w:szCs w:val="20"/>
        </w:rPr>
        <w:t xml:space="preserve">CNRS </w:t>
      </w:r>
      <w:r w:rsidRPr="00EF3B71">
        <w:rPr>
          <w:rFonts w:ascii="Arial" w:hAnsi="Arial" w:cs="Arial"/>
          <w:i/>
          <w:iCs/>
          <w:sz w:val="20"/>
          <w:szCs w:val="20"/>
          <w:shd w:val="clear" w:color="auto" w:fill="FDFDFD"/>
        </w:rPr>
        <w:t>8247</w:t>
      </w:r>
      <w:r w:rsidRPr="00EF3B71">
        <w:rPr>
          <w:rFonts w:ascii="Arial" w:hAnsi="Arial" w:cs="Arial"/>
          <w:i/>
          <w:iCs/>
          <w:sz w:val="20"/>
          <w:szCs w:val="20"/>
        </w:rPr>
        <w:t xml:space="preserve">, PSL </w:t>
      </w:r>
      <w:proofErr w:type="spellStart"/>
      <w:r w:rsidRPr="00EF3B71">
        <w:rPr>
          <w:rFonts w:ascii="Arial" w:hAnsi="Arial" w:cs="Arial"/>
          <w:i/>
          <w:iCs/>
          <w:sz w:val="20"/>
          <w:szCs w:val="20"/>
        </w:rPr>
        <w:t>Research</w:t>
      </w:r>
      <w:proofErr w:type="spellEnd"/>
      <w:r w:rsidRPr="00EF3B71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EF3B71">
        <w:rPr>
          <w:rFonts w:ascii="Arial" w:hAnsi="Arial" w:cs="Arial"/>
          <w:i/>
          <w:iCs/>
          <w:sz w:val="20"/>
          <w:szCs w:val="20"/>
        </w:rPr>
        <w:t>University</w:t>
      </w:r>
      <w:proofErr w:type="spellEnd"/>
      <w:r w:rsidRPr="00EF3B71">
        <w:rPr>
          <w:rFonts w:ascii="Arial" w:hAnsi="Arial" w:cs="Arial"/>
          <w:i/>
          <w:iCs/>
          <w:sz w:val="20"/>
          <w:szCs w:val="20"/>
        </w:rPr>
        <w:t>, 75005 Paris, France.</w:t>
      </w:r>
    </w:p>
    <w:p w14:paraId="675BA6D9" w14:textId="77777777" w:rsidR="00EF3B71" w:rsidRPr="00EF3B71" w:rsidRDefault="00EF3B71" w:rsidP="00EF3B71">
      <w:pPr>
        <w:spacing w:line="264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EF3B71">
        <w:rPr>
          <w:rFonts w:ascii="Arial" w:hAnsi="Arial" w:cs="Arial"/>
          <w:i/>
          <w:iCs/>
          <w:sz w:val="20"/>
          <w:szCs w:val="20"/>
          <w:vertAlign w:val="superscript"/>
        </w:rPr>
        <w:t>5</w:t>
      </w:r>
      <w:r w:rsidRPr="00EF3B71">
        <w:rPr>
          <w:rFonts w:ascii="Arial" w:hAnsi="Arial" w:cs="Arial"/>
          <w:i/>
          <w:iCs/>
          <w:sz w:val="20"/>
          <w:szCs w:val="20"/>
        </w:rPr>
        <w:t xml:space="preserve"> CY Cergy Paris Université, 95031 Cergy-Pontoise, France.</w:t>
      </w:r>
    </w:p>
    <w:p w14:paraId="342D094A" w14:textId="6E648BE4" w:rsidR="008052C3" w:rsidRPr="00A34AC1" w:rsidRDefault="00EF3B71" w:rsidP="00EF3B71">
      <w:pPr>
        <w:autoSpaceDE w:val="0"/>
        <w:autoSpaceDN w:val="0"/>
        <w:adjustRightInd w:val="0"/>
        <w:spacing w:line="360" w:lineRule="auto"/>
        <w:jc w:val="center"/>
        <w:rPr>
          <w:rStyle w:val="Collegamentoipertestuale"/>
          <w:rFonts w:ascii="Arial" w:hAnsi="Arial" w:cs="Arial"/>
          <w:i/>
          <w:iCs/>
          <w:sz w:val="20"/>
          <w:szCs w:val="20"/>
          <w:shd w:val="clear" w:color="auto" w:fill="FDFDFD"/>
        </w:rPr>
      </w:pPr>
      <w:r w:rsidRPr="00A34AC1">
        <w:rPr>
          <w:rFonts w:ascii="Arial" w:hAnsi="Arial" w:cs="Arial"/>
          <w:bCs/>
          <w:i/>
          <w:iCs/>
          <w:sz w:val="20"/>
          <w:szCs w:val="20"/>
          <w:vertAlign w:val="superscript"/>
        </w:rPr>
        <w:t>*</w:t>
      </w:r>
      <w:r w:rsidRPr="00A34AC1">
        <w:rPr>
          <w:rFonts w:ascii="Arial" w:hAnsi="Arial" w:cs="Arial"/>
          <w:bCs/>
          <w:i/>
          <w:iCs/>
          <w:sz w:val="20"/>
          <w:szCs w:val="20"/>
        </w:rPr>
        <w:t xml:space="preserve">Contact: </w:t>
      </w:r>
      <w:r w:rsidR="00A34AC1">
        <w:fldChar w:fldCharType="begin"/>
      </w:r>
      <w:r w:rsidR="00A34AC1" w:rsidRPr="00A34AC1">
        <w:instrText xml:space="preserve"> HYPERLINK "mailto:mary.de.feudis@chimieparistech.psl.eu" </w:instrText>
      </w:r>
      <w:r w:rsidR="00A34AC1">
        <w:fldChar w:fldCharType="separate"/>
      </w:r>
      <w:r w:rsidRPr="00A34AC1">
        <w:rPr>
          <w:rStyle w:val="Collegamentoipertestuale"/>
          <w:rFonts w:ascii="Arial" w:hAnsi="Arial" w:cs="Arial"/>
          <w:i/>
          <w:iCs/>
          <w:sz w:val="20"/>
          <w:szCs w:val="20"/>
          <w:shd w:val="clear" w:color="auto" w:fill="FDFDFD"/>
        </w:rPr>
        <w:t>mary.de.feudis@chimieparistech.psl.eu</w:t>
      </w:r>
      <w:r w:rsidR="00A34AC1">
        <w:rPr>
          <w:rStyle w:val="Collegamentoipertestuale"/>
          <w:rFonts w:ascii="Arial" w:hAnsi="Arial" w:cs="Arial"/>
          <w:i/>
          <w:iCs/>
          <w:sz w:val="20"/>
          <w:szCs w:val="20"/>
          <w:shd w:val="clear" w:color="auto" w:fill="FDFDFD"/>
        </w:rPr>
        <w:fldChar w:fldCharType="end"/>
      </w:r>
      <w:r w:rsidR="00A34AC1" w:rsidRPr="00A34AC1">
        <w:rPr>
          <w:rStyle w:val="Collegamentoipertestuale"/>
          <w:rFonts w:ascii="Arial" w:hAnsi="Arial" w:cs="Arial"/>
          <w:i/>
          <w:iCs/>
          <w:sz w:val="20"/>
          <w:szCs w:val="20"/>
          <w:u w:val="none"/>
          <w:shd w:val="clear" w:color="auto" w:fill="FDFDFD"/>
        </w:rPr>
        <w:t xml:space="preserve">    </w:t>
      </w:r>
      <w:r w:rsidR="008052C3" w:rsidRPr="00A34AC1">
        <w:rPr>
          <w:rStyle w:val="Collegamentoipertestuale"/>
          <w:rFonts w:ascii="Arial" w:hAnsi="Arial" w:cs="Arial"/>
          <w:i/>
          <w:iCs/>
          <w:sz w:val="20"/>
          <w:szCs w:val="20"/>
          <w:shd w:val="clear" w:color="auto" w:fill="FDFDFD"/>
        </w:rPr>
        <w:t>mary.de-feudis@cyu.fr</w:t>
      </w:r>
    </w:p>
    <w:p w14:paraId="29FDE3F0" w14:textId="77777777" w:rsidR="006B1EBF" w:rsidRPr="00A34AC1" w:rsidRDefault="006B1EBF" w:rsidP="00EF3B7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  <w:sz w:val="20"/>
          <w:szCs w:val="20"/>
          <w:u w:val="single"/>
          <w:shd w:val="clear" w:color="auto" w:fill="FDFDFD"/>
        </w:rPr>
      </w:pPr>
    </w:p>
    <w:p w14:paraId="1A5283A0" w14:textId="4E3E1818" w:rsidR="00EF3B71" w:rsidRPr="00EF3B71" w:rsidRDefault="00EF3B71" w:rsidP="00EF3B71">
      <w:pPr>
        <w:pStyle w:val="paragraph"/>
        <w:rPr>
          <w:rFonts w:ascii="Arial" w:hAnsi="Arial" w:cs="Arial"/>
          <w:sz w:val="22"/>
          <w:szCs w:val="22"/>
          <w:lang w:val="en-GB"/>
        </w:rPr>
      </w:pPr>
      <w:r w:rsidRPr="00EF3B71">
        <w:rPr>
          <w:rFonts w:ascii="Arial" w:hAnsi="Arial" w:cs="Arial"/>
          <w:sz w:val="22"/>
          <w:szCs w:val="22"/>
          <w:lang w:val="en-GB"/>
        </w:rPr>
        <w:t>Group-IV color centers in nanodiamond, such as silicon-vacancy (</w:t>
      </w:r>
      <w:proofErr w:type="spellStart"/>
      <w:r w:rsidRPr="00EF3B71">
        <w:rPr>
          <w:rFonts w:ascii="Arial" w:hAnsi="Arial" w:cs="Arial"/>
          <w:sz w:val="22"/>
          <w:szCs w:val="22"/>
          <w:lang w:val="en-GB"/>
        </w:rPr>
        <w:t>SiV</w:t>
      </w:r>
      <w:proofErr w:type="spellEnd"/>
      <w:r w:rsidRPr="00EF3B71">
        <w:rPr>
          <w:rFonts w:ascii="Arial" w:hAnsi="Arial" w:cs="Arial"/>
          <w:sz w:val="22"/>
          <w:szCs w:val="22"/>
          <w:lang w:val="en-GB"/>
        </w:rPr>
        <w:t xml:space="preserve">) defects, are promising quantum emitters for sensing and photonics due to their bright and narrow zero-phonon line (ZPL) emission, representing up to 80% of their total luminescence [1–3]. </w:t>
      </w:r>
      <w:r>
        <w:rPr>
          <w:rFonts w:ascii="Arial" w:hAnsi="Arial" w:cs="Arial"/>
          <w:sz w:val="22"/>
          <w:szCs w:val="22"/>
          <w:lang w:val="en-GB"/>
        </w:rPr>
        <w:br/>
      </w:r>
      <w:r w:rsidRPr="00EF3B71">
        <w:rPr>
          <w:rFonts w:ascii="Arial" w:hAnsi="Arial" w:cs="Arial"/>
          <w:sz w:val="22"/>
          <w:szCs w:val="22"/>
          <w:lang w:val="en-GB"/>
        </w:rPr>
        <w:t xml:space="preserve">However, in as-grown CVD nanodiamonds, residual lattice strain induces significant spectral broadening, preventing access to the fine electronic structure of </w:t>
      </w:r>
      <w:proofErr w:type="spellStart"/>
      <w:r w:rsidRPr="00EF3B71">
        <w:rPr>
          <w:rFonts w:ascii="Arial" w:hAnsi="Arial" w:cs="Arial"/>
          <w:sz w:val="22"/>
          <w:szCs w:val="22"/>
          <w:lang w:val="en-GB"/>
        </w:rPr>
        <w:t>SiV</w:t>
      </w:r>
      <w:proofErr w:type="spellEnd"/>
      <w:r w:rsidRPr="00EF3B71">
        <w:rPr>
          <w:rFonts w:ascii="Arial" w:hAnsi="Arial" w:cs="Arial"/>
          <w:sz w:val="22"/>
          <w:szCs w:val="22"/>
          <w:lang w:val="en-GB"/>
        </w:rPr>
        <w:t xml:space="preserve"> centers even at cryogenic temperatures. To mitigate this effect, we carried out a controlled high-pressure and high-temperature (HPHT) annealing process using the Paris–Edinburgh press, performed </w:t>
      </w:r>
      <w:r w:rsidRPr="00EF3B71">
        <w:rPr>
          <w:rStyle w:val="Enfasigrassetto"/>
          <w:rFonts w:ascii="Arial" w:hAnsi="Arial" w:cs="Arial"/>
          <w:b w:val="0"/>
          <w:bCs w:val="0"/>
          <w:sz w:val="22"/>
          <w:szCs w:val="22"/>
          <w:lang w:val="en-GB"/>
        </w:rPr>
        <w:t>in situ</w:t>
      </w:r>
      <w:r w:rsidRPr="00EF3B71">
        <w:rPr>
          <w:rFonts w:ascii="Arial" w:hAnsi="Arial" w:cs="Arial"/>
          <w:sz w:val="22"/>
          <w:szCs w:val="22"/>
          <w:lang w:val="en-GB"/>
        </w:rPr>
        <w:t xml:space="preserve"> at the PSICHE beamline of Synchrotron SOLEIL [4]. </w:t>
      </w:r>
    </w:p>
    <w:p w14:paraId="4311E263" w14:textId="77777777" w:rsidR="00EF3B71" w:rsidRPr="00EF3B71" w:rsidRDefault="00EF3B71" w:rsidP="00EF3B71">
      <w:pPr>
        <w:pStyle w:val="paragraph"/>
        <w:rPr>
          <w:rFonts w:ascii="Arial" w:hAnsi="Arial" w:cs="Arial"/>
          <w:sz w:val="22"/>
          <w:szCs w:val="22"/>
          <w:lang w:val="en-GB"/>
        </w:rPr>
      </w:pPr>
      <w:r w:rsidRPr="00EF3B71">
        <w:rPr>
          <w:rFonts w:ascii="Arial" w:hAnsi="Arial" w:cs="Arial"/>
          <w:sz w:val="22"/>
          <w:szCs w:val="22"/>
          <w:lang w:val="en-GB"/>
        </w:rPr>
        <w:t xml:space="preserve">The </w:t>
      </w:r>
      <w:r w:rsidRPr="00EF3B71">
        <w:rPr>
          <w:rStyle w:val="Enfasigrassetto"/>
          <w:rFonts w:ascii="Arial" w:hAnsi="Arial" w:cs="Arial"/>
          <w:b w:val="0"/>
          <w:bCs w:val="0"/>
          <w:sz w:val="22"/>
          <w:szCs w:val="22"/>
          <w:lang w:val="en-GB"/>
        </w:rPr>
        <w:t>synchrotron X-ray diffraction and tomography</w:t>
      </w:r>
      <w:r w:rsidRPr="00EF3B71">
        <w:rPr>
          <w:rFonts w:ascii="Arial" w:hAnsi="Arial" w:cs="Arial"/>
          <w:sz w:val="22"/>
          <w:szCs w:val="22"/>
          <w:lang w:val="en-GB"/>
        </w:rPr>
        <w:t xml:space="preserve"> measurements were crucial for the precise calibration of pressure and temperature conditions </w:t>
      </w:r>
      <w:r w:rsidRPr="00EF3B71">
        <w:rPr>
          <w:rStyle w:val="Enfasigrassetto"/>
          <w:rFonts w:ascii="Arial" w:hAnsi="Arial" w:cs="Arial"/>
          <w:b w:val="0"/>
          <w:bCs w:val="0"/>
          <w:sz w:val="22"/>
          <w:szCs w:val="22"/>
          <w:lang w:val="en-GB"/>
        </w:rPr>
        <w:t>within the assembly</w:t>
      </w:r>
      <w:r w:rsidRPr="00EF3B71">
        <w:rPr>
          <w:rFonts w:ascii="Arial" w:hAnsi="Arial" w:cs="Arial"/>
          <w:sz w:val="22"/>
          <w:szCs w:val="22"/>
          <w:lang w:val="en-GB"/>
        </w:rPr>
        <w:t xml:space="preserve">, enabling us to finely tune the HPHT parameters to promote strain relaxation while avoiding the onset of graphitization. These </w:t>
      </w:r>
      <w:r w:rsidRPr="00EF3B71">
        <w:rPr>
          <w:rStyle w:val="Enfasigrassetto"/>
          <w:rFonts w:ascii="Arial" w:hAnsi="Arial" w:cs="Arial"/>
          <w:b w:val="0"/>
          <w:bCs w:val="0"/>
          <w:sz w:val="22"/>
          <w:szCs w:val="22"/>
          <w:lang w:val="en-GB"/>
        </w:rPr>
        <w:t>in situ synchrotron investigations</w:t>
      </w:r>
      <w:r w:rsidRPr="00EF3B71">
        <w:rPr>
          <w:rFonts w:ascii="Arial" w:hAnsi="Arial" w:cs="Arial"/>
          <w:sz w:val="22"/>
          <w:szCs w:val="22"/>
          <w:lang w:val="en-GB"/>
        </w:rPr>
        <w:t xml:space="preserve"> provided real-time insight into nanodiamond phase stability and strain-release mechanisms, which were confirmed </w:t>
      </w:r>
      <w:r w:rsidRPr="00EF3B71">
        <w:rPr>
          <w:rStyle w:val="Enfasigrassetto"/>
          <w:rFonts w:ascii="Arial" w:hAnsi="Arial" w:cs="Arial"/>
          <w:b w:val="0"/>
          <w:bCs w:val="0"/>
          <w:sz w:val="22"/>
          <w:szCs w:val="22"/>
          <w:lang w:val="en-GB"/>
        </w:rPr>
        <w:t>ex situ</w:t>
      </w:r>
      <w:r w:rsidRPr="00EF3B71">
        <w:rPr>
          <w:rFonts w:ascii="Arial" w:hAnsi="Arial" w:cs="Arial"/>
          <w:sz w:val="22"/>
          <w:szCs w:val="22"/>
          <w:lang w:val="en-GB"/>
        </w:rPr>
        <w:t xml:space="preserve"> by optical measurements, leading to the first observation of </w:t>
      </w:r>
      <w:r w:rsidRPr="00EF3B71">
        <w:rPr>
          <w:rStyle w:val="Enfasigrassetto"/>
          <w:rFonts w:ascii="Arial" w:hAnsi="Arial" w:cs="Arial"/>
          <w:b w:val="0"/>
          <w:bCs w:val="0"/>
          <w:sz w:val="22"/>
          <w:szCs w:val="22"/>
          <w:lang w:val="en-GB"/>
        </w:rPr>
        <w:t>resolved fine-structure transitions</w:t>
      </w:r>
      <w:r w:rsidRPr="00EF3B71">
        <w:rPr>
          <w:rFonts w:ascii="Arial" w:hAnsi="Arial" w:cs="Arial"/>
          <w:sz w:val="22"/>
          <w:szCs w:val="22"/>
          <w:lang w:val="en-GB"/>
        </w:rPr>
        <w:t xml:space="preserve"> in </w:t>
      </w:r>
      <w:proofErr w:type="spellStart"/>
      <w:r w:rsidRPr="00EF3B71">
        <w:rPr>
          <w:rFonts w:ascii="Arial" w:hAnsi="Arial" w:cs="Arial"/>
          <w:sz w:val="22"/>
          <w:szCs w:val="22"/>
          <w:lang w:val="en-GB"/>
        </w:rPr>
        <w:t>SiV</w:t>
      </w:r>
      <w:proofErr w:type="spellEnd"/>
      <w:r w:rsidRPr="00EF3B71">
        <w:rPr>
          <w:rFonts w:ascii="Arial" w:hAnsi="Arial" w:cs="Arial"/>
          <w:sz w:val="22"/>
          <w:szCs w:val="22"/>
          <w:lang w:val="en-GB"/>
        </w:rPr>
        <w:t xml:space="preserve"> centers after HPHT treatment. </w:t>
      </w:r>
    </w:p>
    <w:p w14:paraId="505CBB26" w14:textId="0DB064A6" w:rsidR="00EF3B71" w:rsidRPr="00EF3B71" w:rsidRDefault="00EF3B71" w:rsidP="00EF3B71">
      <w:pPr>
        <w:pStyle w:val="paragraph"/>
        <w:rPr>
          <w:rFonts w:ascii="Arial" w:hAnsi="Arial" w:cs="Arial"/>
          <w:b/>
          <w:bCs/>
          <w:sz w:val="22"/>
          <w:szCs w:val="22"/>
          <w:lang w:val="en-GB"/>
        </w:rPr>
      </w:pPr>
      <w:r w:rsidRPr="00EF3B71">
        <w:rPr>
          <w:rFonts w:ascii="Arial" w:hAnsi="Arial" w:cs="Arial"/>
          <w:sz w:val="22"/>
          <w:szCs w:val="22"/>
          <w:lang w:val="en-GB"/>
        </w:rPr>
        <w:t xml:space="preserve">Importantly, the </w:t>
      </w:r>
      <w:r w:rsidRPr="00EF3B71">
        <w:rPr>
          <w:rStyle w:val="Enfasigrassetto"/>
          <w:rFonts w:ascii="Arial" w:hAnsi="Arial" w:cs="Arial"/>
          <w:b w:val="0"/>
          <w:bCs w:val="0"/>
          <w:sz w:val="22"/>
          <w:szCs w:val="22"/>
          <w:lang w:val="en-GB"/>
        </w:rPr>
        <w:t>calibrated HPHT setup</w:t>
      </w:r>
      <w:r w:rsidRPr="00EF3B71">
        <w:rPr>
          <w:rFonts w:ascii="Arial" w:hAnsi="Arial" w:cs="Arial"/>
          <w:sz w:val="22"/>
          <w:szCs w:val="22"/>
          <w:lang w:val="en-GB"/>
        </w:rPr>
        <w:t xml:space="preserve"> can now be reliably operated </w:t>
      </w:r>
      <w:r w:rsidRPr="00EF3B71">
        <w:rPr>
          <w:rStyle w:val="Enfasigrassetto"/>
          <w:rFonts w:ascii="Arial" w:hAnsi="Arial" w:cs="Arial"/>
          <w:b w:val="0"/>
          <w:bCs w:val="0"/>
          <w:sz w:val="22"/>
          <w:szCs w:val="22"/>
          <w:lang w:val="en-GB"/>
        </w:rPr>
        <w:t>off-beam</w:t>
      </w:r>
      <w:r w:rsidRPr="00EF3B71">
        <w:rPr>
          <w:rFonts w:ascii="Arial" w:hAnsi="Arial" w:cs="Arial"/>
          <w:sz w:val="22"/>
          <w:szCs w:val="22"/>
          <w:lang w:val="en-GB"/>
        </w:rPr>
        <w:t xml:space="preserve">, enabling systematic post-annealing studies on different types of nanodiamonds and color centers. This methodology establishes a </w:t>
      </w:r>
      <w:r w:rsidRPr="00EF3B71">
        <w:rPr>
          <w:rStyle w:val="Enfasigrassetto"/>
          <w:rFonts w:ascii="Arial" w:hAnsi="Arial" w:cs="Arial"/>
          <w:b w:val="0"/>
          <w:bCs w:val="0"/>
          <w:sz w:val="22"/>
          <w:szCs w:val="22"/>
          <w:lang w:val="en-GB"/>
        </w:rPr>
        <w:t>robust experimental reference</w:t>
      </w:r>
      <w:r w:rsidRPr="00EF3B71">
        <w:rPr>
          <w:rFonts w:ascii="Arial" w:hAnsi="Arial" w:cs="Arial"/>
          <w:sz w:val="22"/>
          <w:szCs w:val="22"/>
          <w:lang w:val="en-GB"/>
        </w:rPr>
        <w:t xml:space="preserve"> for future off-beam HPHT annealing treatments and serves as a </w:t>
      </w:r>
      <w:r w:rsidRPr="00EF3B71">
        <w:rPr>
          <w:rStyle w:val="Enfasigrassetto"/>
          <w:rFonts w:ascii="Arial" w:hAnsi="Arial" w:cs="Arial"/>
          <w:b w:val="0"/>
          <w:bCs w:val="0"/>
          <w:sz w:val="22"/>
          <w:szCs w:val="22"/>
          <w:lang w:val="en-GB"/>
        </w:rPr>
        <w:t>benchmark for the broader quantum diamond research community</w:t>
      </w:r>
      <w:r w:rsidRPr="00EF3B71">
        <w:rPr>
          <w:rFonts w:ascii="Arial" w:hAnsi="Arial" w:cs="Arial"/>
          <w:b/>
          <w:bCs/>
          <w:sz w:val="22"/>
          <w:szCs w:val="22"/>
          <w:lang w:val="en-GB"/>
        </w:rPr>
        <w:t>.</w:t>
      </w:r>
    </w:p>
    <w:p w14:paraId="74198B00" w14:textId="10848D4E" w:rsidR="005166FE" w:rsidRPr="002E40F1" w:rsidRDefault="005166FE" w:rsidP="005166FE">
      <w:pPr>
        <w:pStyle w:val="paragraph"/>
        <w:rPr>
          <w:rFonts w:ascii="Arial" w:hAnsi="Arial" w:cs="Arial"/>
          <w:sz w:val="22"/>
          <w:szCs w:val="22"/>
          <w:lang w:val="en-GB"/>
        </w:rPr>
      </w:pPr>
    </w:p>
    <w:p w14:paraId="1744D1A3" w14:textId="769FC88C" w:rsidR="005166FE" w:rsidRPr="0001128F" w:rsidRDefault="005166FE" w:rsidP="005166FE">
      <w:pPr>
        <w:pStyle w:val="Titolo1"/>
        <w:rPr>
          <w:rFonts w:ascii="Arial" w:hAnsi="Arial" w:cs="Arial"/>
          <w:caps w:val="0"/>
          <w:color w:val="0000FF"/>
          <w:sz w:val="22"/>
          <w:szCs w:val="22"/>
        </w:rPr>
      </w:pPr>
      <w:r w:rsidRPr="0001128F">
        <w:rPr>
          <w:rFonts w:ascii="Arial" w:hAnsi="Arial" w:cs="Arial"/>
          <w:sz w:val="22"/>
          <w:szCs w:val="22"/>
        </w:rPr>
        <w:t>References</w:t>
      </w:r>
      <w:r w:rsidR="00297F1D" w:rsidRPr="0001128F">
        <w:rPr>
          <w:rFonts w:ascii="Arial" w:hAnsi="Arial" w:cs="Arial"/>
          <w:sz w:val="22"/>
          <w:szCs w:val="22"/>
        </w:rPr>
        <w:t xml:space="preserve"> </w:t>
      </w:r>
    </w:p>
    <w:p w14:paraId="462B0EAA" w14:textId="73B54BDF" w:rsidR="005166FE" w:rsidRPr="006B1EBF" w:rsidRDefault="005166FE" w:rsidP="005166FE">
      <w:pPr>
        <w:pStyle w:val="reference"/>
        <w:rPr>
          <w:rFonts w:ascii="Arial" w:hAnsi="Arial" w:cs="Arial"/>
          <w:sz w:val="15"/>
          <w:szCs w:val="15"/>
        </w:rPr>
      </w:pPr>
      <w:r w:rsidRPr="0001128F">
        <w:rPr>
          <w:rFonts w:ascii="Arial" w:hAnsi="Arial" w:cs="Arial"/>
          <w:sz w:val="15"/>
          <w:szCs w:val="15"/>
        </w:rPr>
        <w:t xml:space="preserve">1.   </w:t>
      </w:r>
      <w:r w:rsidR="0001128F" w:rsidRPr="00EF3B71">
        <w:rPr>
          <w:rFonts w:ascii="Arial" w:hAnsi="Arial" w:cs="Arial"/>
          <w:sz w:val="15"/>
          <w:szCs w:val="15"/>
        </w:rPr>
        <w:t xml:space="preserve">T. Muller </w:t>
      </w:r>
      <w:r w:rsidR="0001128F" w:rsidRPr="00EF3B71">
        <w:rPr>
          <w:rFonts w:ascii="Arial" w:hAnsi="Arial" w:cs="Arial"/>
          <w:i/>
          <w:iCs/>
          <w:sz w:val="15"/>
          <w:szCs w:val="15"/>
        </w:rPr>
        <w:t>et al.</w:t>
      </w:r>
      <w:r w:rsidR="0001128F" w:rsidRPr="00EF3B71">
        <w:rPr>
          <w:rFonts w:ascii="Arial" w:hAnsi="Arial" w:cs="Arial"/>
          <w:sz w:val="15"/>
          <w:szCs w:val="15"/>
        </w:rPr>
        <w:t xml:space="preserve">, </w:t>
      </w:r>
      <w:r w:rsidR="0001128F" w:rsidRPr="00EF3B71">
        <w:rPr>
          <w:rFonts w:ascii="Arial" w:hAnsi="Arial" w:cs="Arial"/>
          <w:i/>
          <w:iCs/>
          <w:sz w:val="15"/>
          <w:szCs w:val="15"/>
        </w:rPr>
        <w:t>Nat. Commun</w:t>
      </w:r>
      <w:r w:rsidR="0001128F" w:rsidRPr="00EF3B71">
        <w:rPr>
          <w:rFonts w:ascii="Arial" w:hAnsi="Arial" w:cs="Arial"/>
          <w:sz w:val="15"/>
          <w:szCs w:val="15"/>
        </w:rPr>
        <w:t xml:space="preserve">. </w:t>
      </w:r>
      <w:r w:rsidR="0001128F" w:rsidRPr="00EF3B71">
        <w:rPr>
          <w:rFonts w:ascii="Arial" w:hAnsi="Arial" w:cs="Arial"/>
          <w:b/>
          <w:bCs/>
          <w:sz w:val="15"/>
          <w:szCs w:val="15"/>
        </w:rPr>
        <w:t>5</w:t>
      </w:r>
      <w:r w:rsidR="0001128F" w:rsidRPr="00EF3B71">
        <w:rPr>
          <w:rFonts w:ascii="Arial" w:hAnsi="Arial" w:cs="Arial"/>
          <w:sz w:val="15"/>
          <w:szCs w:val="15"/>
        </w:rPr>
        <w:t>, 3328 (2014).</w:t>
      </w:r>
    </w:p>
    <w:p w14:paraId="4EB02F69" w14:textId="77777777" w:rsidR="0001128F" w:rsidRDefault="005166FE" w:rsidP="005166FE">
      <w:pPr>
        <w:pStyle w:val="reference"/>
        <w:rPr>
          <w:rFonts w:ascii="Arial" w:hAnsi="Arial" w:cs="Arial"/>
          <w:color w:val="1A1A1A"/>
          <w:sz w:val="15"/>
          <w:szCs w:val="15"/>
        </w:rPr>
      </w:pPr>
      <w:bookmarkStart w:id="0" w:name="Name1"/>
      <w:bookmarkEnd w:id="0"/>
      <w:r w:rsidRPr="006B1EBF">
        <w:rPr>
          <w:rFonts w:ascii="Arial" w:hAnsi="Arial" w:cs="Arial"/>
          <w:sz w:val="15"/>
          <w:szCs w:val="15"/>
        </w:rPr>
        <w:t xml:space="preserve">2.   </w:t>
      </w:r>
      <w:r w:rsidR="0001128F" w:rsidRPr="00EF3B71">
        <w:rPr>
          <w:rFonts w:ascii="Arial" w:hAnsi="Arial" w:cs="Arial"/>
          <w:color w:val="1A1A1A"/>
          <w:sz w:val="15"/>
          <w:szCs w:val="15"/>
        </w:rPr>
        <w:t xml:space="preserve">M. De Feudis </w:t>
      </w:r>
      <w:r w:rsidR="0001128F" w:rsidRPr="00EF3B71">
        <w:rPr>
          <w:rFonts w:ascii="Arial" w:hAnsi="Arial" w:cs="Arial"/>
          <w:i/>
          <w:iCs/>
          <w:color w:val="1A1A1A"/>
          <w:sz w:val="15"/>
          <w:szCs w:val="15"/>
        </w:rPr>
        <w:t>et al</w:t>
      </w:r>
      <w:r w:rsidR="0001128F" w:rsidRPr="00EF3B71">
        <w:rPr>
          <w:rFonts w:ascii="Arial" w:hAnsi="Arial" w:cs="Arial"/>
          <w:color w:val="1A1A1A"/>
          <w:sz w:val="15"/>
          <w:szCs w:val="15"/>
        </w:rPr>
        <w:t xml:space="preserve">., </w:t>
      </w:r>
      <w:r w:rsidR="0001128F" w:rsidRPr="00EF3B71">
        <w:rPr>
          <w:rFonts w:ascii="Arial" w:hAnsi="Arial" w:cs="Arial"/>
          <w:i/>
          <w:iCs/>
          <w:color w:val="1A1A1A"/>
          <w:sz w:val="15"/>
          <w:szCs w:val="15"/>
        </w:rPr>
        <w:t>Adv. Mater. Interfaces</w:t>
      </w:r>
      <w:r w:rsidR="0001128F" w:rsidRPr="00EF3B71">
        <w:rPr>
          <w:rFonts w:ascii="Arial" w:hAnsi="Arial" w:cs="Arial"/>
          <w:color w:val="1A1A1A"/>
          <w:sz w:val="15"/>
          <w:szCs w:val="15"/>
        </w:rPr>
        <w:t xml:space="preserve"> </w:t>
      </w:r>
      <w:r w:rsidR="0001128F" w:rsidRPr="00EF3B71">
        <w:rPr>
          <w:rFonts w:ascii="Arial" w:hAnsi="Arial" w:cs="Arial"/>
          <w:b/>
          <w:bCs/>
          <w:color w:val="1A1A1A"/>
          <w:sz w:val="15"/>
          <w:szCs w:val="15"/>
        </w:rPr>
        <w:t>7</w:t>
      </w:r>
      <w:r w:rsidR="0001128F" w:rsidRPr="00EF3B71">
        <w:rPr>
          <w:rFonts w:ascii="Arial" w:hAnsi="Arial" w:cs="Arial"/>
          <w:color w:val="1A1A1A"/>
          <w:sz w:val="15"/>
          <w:szCs w:val="15"/>
        </w:rPr>
        <w:t>, 1901408 (2019).</w:t>
      </w:r>
    </w:p>
    <w:p w14:paraId="064A2DD2" w14:textId="77777777" w:rsidR="0001128F" w:rsidRDefault="005166FE" w:rsidP="005166FE">
      <w:pPr>
        <w:pStyle w:val="reference"/>
        <w:rPr>
          <w:rFonts w:ascii="Arial" w:hAnsi="Arial" w:cs="Arial"/>
          <w:color w:val="151515"/>
          <w:sz w:val="15"/>
          <w:szCs w:val="15"/>
        </w:rPr>
      </w:pPr>
      <w:r w:rsidRPr="0001128F">
        <w:rPr>
          <w:rFonts w:ascii="Arial" w:hAnsi="Arial" w:cs="Arial"/>
          <w:sz w:val="15"/>
          <w:szCs w:val="15"/>
        </w:rPr>
        <w:t xml:space="preserve">3.   </w:t>
      </w:r>
      <w:r w:rsidR="0001128F" w:rsidRPr="00EF3B71">
        <w:rPr>
          <w:rFonts w:ascii="Arial" w:hAnsi="Arial" w:cs="Arial"/>
          <w:color w:val="151515"/>
          <w:sz w:val="15"/>
          <w:szCs w:val="15"/>
        </w:rPr>
        <w:t xml:space="preserve">B. </w:t>
      </w:r>
      <w:proofErr w:type="spellStart"/>
      <w:r w:rsidR="0001128F" w:rsidRPr="00EF3B71">
        <w:rPr>
          <w:rFonts w:ascii="Arial" w:hAnsi="Arial" w:cs="Arial"/>
          <w:color w:val="151515"/>
          <w:sz w:val="15"/>
          <w:szCs w:val="15"/>
        </w:rPr>
        <w:t>Vindolet</w:t>
      </w:r>
      <w:proofErr w:type="spellEnd"/>
      <w:r w:rsidR="0001128F" w:rsidRPr="00EF3B71">
        <w:rPr>
          <w:rFonts w:ascii="Arial" w:hAnsi="Arial" w:cs="Arial"/>
          <w:color w:val="151515"/>
          <w:sz w:val="15"/>
          <w:szCs w:val="15"/>
        </w:rPr>
        <w:t xml:space="preserve"> </w:t>
      </w:r>
      <w:r w:rsidR="0001128F" w:rsidRPr="00EF3B71">
        <w:rPr>
          <w:rFonts w:ascii="Arial" w:hAnsi="Arial" w:cs="Arial"/>
          <w:i/>
          <w:iCs/>
          <w:color w:val="1A1A1A"/>
          <w:sz w:val="15"/>
          <w:szCs w:val="15"/>
        </w:rPr>
        <w:t>et al</w:t>
      </w:r>
      <w:r w:rsidR="0001128F" w:rsidRPr="00EF3B71">
        <w:rPr>
          <w:rFonts w:ascii="Arial" w:hAnsi="Arial" w:cs="Arial"/>
          <w:color w:val="1A1A1A"/>
          <w:sz w:val="15"/>
          <w:szCs w:val="15"/>
        </w:rPr>
        <w:t xml:space="preserve">., </w:t>
      </w:r>
      <w:r w:rsidR="0001128F" w:rsidRPr="00EF3B71">
        <w:rPr>
          <w:rFonts w:ascii="Arial" w:hAnsi="Arial" w:cs="Arial"/>
          <w:i/>
          <w:iCs/>
          <w:color w:val="1F1F1F"/>
          <w:sz w:val="15"/>
          <w:szCs w:val="15"/>
          <w:shd w:val="clear" w:color="auto" w:fill="FFFFFF"/>
        </w:rPr>
        <w:t xml:space="preserve">Phys. </w:t>
      </w:r>
      <w:proofErr w:type="spellStart"/>
      <w:r w:rsidR="0001128F" w:rsidRPr="00EF3B71">
        <w:rPr>
          <w:rFonts w:ascii="Arial" w:hAnsi="Arial" w:cs="Arial"/>
          <w:i/>
          <w:iCs/>
          <w:color w:val="1F1F1F"/>
          <w:sz w:val="15"/>
          <w:szCs w:val="15"/>
          <w:shd w:val="clear" w:color="auto" w:fill="FFFFFF"/>
        </w:rPr>
        <w:t>Rev</w:t>
      </w:r>
      <w:proofErr w:type="spellEnd"/>
      <w:r w:rsidR="0001128F" w:rsidRPr="00EF3B71">
        <w:rPr>
          <w:rFonts w:ascii="Arial" w:hAnsi="Arial" w:cs="Arial"/>
          <w:i/>
          <w:iCs/>
          <w:color w:val="1F1F1F"/>
          <w:sz w:val="15"/>
          <w:szCs w:val="15"/>
          <w:shd w:val="clear" w:color="auto" w:fill="FFFFFF"/>
        </w:rPr>
        <w:t>. B</w:t>
      </w:r>
      <w:r w:rsidR="0001128F" w:rsidRPr="00EF3B71">
        <w:rPr>
          <w:rFonts w:ascii="Arial" w:hAnsi="Arial" w:cs="Arial"/>
          <w:color w:val="151515"/>
          <w:sz w:val="15"/>
          <w:szCs w:val="15"/>
        </w:rPr>
        <w:t xml:space="preserve"> </w:t>
      </w:r>
      <w:r w:rsidR="0001128F" w:rsidRPr="00EF3B71">
        <w:rPr>
          <w:rFonts w:ascii="Arial" w:hAnsi="Arial" w:cs="Arial"/>
          <w:b/>
          <w:bCs/>
          <w:color w:val="151515"/>
          <w:sz w:val="15"/>
          <w:szCs w:val="15"/>
        </w:rPr>
        <w:t>106</w:t>
      </w:r>
      <w:r w:rsidR="0001128F" w:rsidRPr="00EF3B71">
        <w:rPr>
          <w:rFonts w:ascii="Arial" w:hAnsi="Arial" w:cs="Arial"/>
          <w:color w:val="151515"/>
          <w:sz w:val="15"/>
          <w:szCs w:val="15"/>
        </w:rPr>
        <w:t>, 214109 (2022).</w:t>
      </w:r>
    </w:p>
    <w:p w14:paraId="70390CAD" w14:textId="77777777" w:rsidR="0001128F" w:rsidRPr="0001128F" w:rsidRDefault="005166FE" w:rsidP="0001128F">
      <w:pPr>
        <w:spacing w:line="22" w:lineRule="atLeast"/>
        <w:jc w:val="both"/>
        <w:rPr>
          <w:rFonts w:ascii="Arial" w:hAnsi="Arial" w:cs="Arial"/>
          <w:sz w:val="15"/>
          <w:szCs w:val="15"/>
          <w:lang w:val="en-GB"/>
        </w:rPr>
      </w:pPr>
      <w:r w:rsidRPr="006B1EBF">
        <w:rPr>
          <w:rFonts w:ascii="Arial" w:hAnsi="Arial" w:cs="Arial"/>
          <w:sz w:val="15"/>
          <w:szCs w:val="15"/>
        </w:rPr>
        <w:t xml:space="preserve">4.   </w:t>
      </w:r>
      <w:r w:rsidR="0001128F" w:rsidRPr="0001128F">
        <w:rPr>
          <w:rFonts w:ascii="Arial" w:hAnsi="Arial" w:cs="Arial"/>
          <w:color w:val="151515"/>
          <w:sz w:val="15"/>
          <w:szCs w:val="15"/>
          <w:lang w:val="en-GB"/>
        </w:rPr>
        <w:t xml:space="preserve">L. Henry </w:t>
      </w:r>
      <w:r w:rsidR="0001128F" w:rsidRPr="0001128F">
        <w:rPr>
          <w:rFonts w:ascii="Arial" w:hAnsi="Arial" w:cs="Arial"/>
          <w:i/>
          <w:iCs/>
          <w:color w:val="1A1A1A"/>
          <w:sz w:val="15"/>
          <w:szCs w:val="15"/>
          <w:lang w:val="en-GB"/>
        </w:rPr>
        <w:t>et al</w:t>
      </w:r>
      <w:r w:rsidR="0001128F" w:rsidRPr="0001128F">
        <w:rPr>
          <w:rFonts w:ascii="Arial" w:hAnsi="Arial" w:cs="Arial"/>
          <w:color w:val="1A1A1A"/>
          <w:sz w:val="15"/>
          <w:szCs w:val="15"/>
          <w:lang w:val="en-GB"/>
        </w:rPr>
        <w:t xml:space="preserve">., </w:t>
      </w:r>
      <w:r w:rsidR="0001128F" w:rsidRPr="0001128F">
        <w:rPr>
          <w:rFonts w:ascii="Arial" w:hAnsi="Arial" w:cs="Arial"/>
          <w:i/>
          <w:iCs/>
          <w:sz w:val="15"/>
          <w:szCs w:val="15"/>
          <w:lang w:val="en-GB"/>
        </w:rPr>
        <w:t>J. Synchrotron Rad</w:t>
      </w:r>
      <w:r w:rsidR="0001128F" w:rsidRPr="0001128F">
        <w:rPr>
          <w:rFonts w:ascii="Arial" w:hAnsi="Arial" w:cs="Arial"/>
          <w:sz w:val="15"/>
          <w:szCs w:val="15"/>
          <w:lang w:val="en-GB"/>
        </w:rPr>
        <w:t xml:space="preserve">. </w:t>
      </w:r>
      <w:r w:rsidR="0001128F" w:rsidRPr="0001128F">
        <w:rPr>
          <w:rFonts w:ascii="Arial" w:hAnsi="Arial" w:cs="Arial"/>
          <w:b/>
          <w:bCs/>
          <w:sz w:val="15"/>
          <w:szCs w:val="15"/>
          <w:lang w:val="en-GB"/>
        </w:rPr>
        <w:t>29</w:t>
      </w:r>
      <w:r w:rsidR="0001128F" w:rsidRPr="0001128F">
        <w:rPr>
          <w:rFonts w:ascii="Arial" w:hAnsi="Arial" w:cs="Arial"/>
          <w:sz w:val="15"/>
          <w:szCs w:val="15"/>
          <w:lang w:val="en-GB"/>
        </w:rPr>
        <w:t>, 853-861 (2022).</w:t>
      </w:r>
    </w:p>
    <w:p w14:paraId="414F2AF9" w14:textId="77777777" w:rsidR="00EF3B71" w:rsidRPr="00EF3B71" w:rsidRDefault="00EF3B71" w:rsidP="005166FE">
      <w:pPr>
        <w:pStyle w:val="reference"/>
        <w:rPr>
          <w:rFonts w:ascii="Arial" w:hAnsi="Arial" w:cs="Arial"/>
          <w:b/>
          <w:color w:val="0000FF"/>
          <w:sz w:val="22"/>
          <w:szCs w:val="22"/>
        </w:rPr>
      </w:pPr>
    </w:p>
    <w:p w14:paraId="5F08FAD5" w14:textId="77777777" w:rsidR="005166FE" w:rsidRPr="00EF3B71" w:rsidRDefault="005166FE">
      <w:pPr>
        <w:rPr>
          <w:rFonts w:ascii="Arial" w:hAnsi="Arial" w:cs="Arial"/>
        </w:rPr>
      </w:pPr>
    </w:p>
    <w:sectPr w:rsidR="005166FE" w:rsidRPr="00EF3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66FE"/>
    <w:rsid w:val="0001128F"/>
    <w:rsid w:val="00041ED8"/>
    <w:rsid w:val="00297F1D"/>
    <w:rsid w:val="002E40F1"/>
    <w:rsid w:val="005166FE"/>
    <w:rsid w:val="0063764B"/>
    <w:rsid w:val="006477D0"/>
    <w:rsid w:val="006B1EBF"/>
    <w:rsid w:val="007E7378"/>
    <w:rsid w:val="008052C3"/>
    <w:rsid w:val="008D4E08"/>
    <w:rsid w:val="0091292E"/>
    <w:rsid w:val="00A34AC1"/>
    <w:rsid w:val="00AB1846"/>
    <w:rsid w:val="00B00B9B"/>
    <w:rsid w:val="00B06DCF"/>
    <w:rsid w:val="00CF36A0"/>
    <w:rsid w:val="00DF3681"/>
    <w:rsid w:val="00E30A4A"/>
    <w:rsid w:val="00EF3B71"/>
    <w:rsid w:val="00FE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94192"/>
  <w15:chartTrackingRefBased/>
  <w15:docId w15:val="{3D3F9E7F-7217-468F-BD91-F8A20A3C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5166FE"/>
    <w:pPr>
      <w:keepNext/>
      <w:spacing w:before="240" w:after="240"/>
      <w:jc w:val="center"/>
      <w:outlineLvl w:val="0"/>
    </w:pPr>
    <w:rPr>
      <w:b/>
      <w:bCs/>
      <w:caps/>
      <w:kern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pertitle">
    <w:name w:val="papertitle"/>
    <w:basedOn w:val="Normale"/>
    <w:rsid w:val="005166FE"/>
    <w:pPr>
      <w:spacing w:before="960"/>
      <w:jc w:val="center"/>
    </w:pPr>
    <w:rPr>
      <w:b/>
      <w:bCs/>
      <w:sz w:val="36"/>
      <w:szCs w:val="36"/>
    </w:rPr>
  </w:style>
  <w:style w:type="paragraph" w:customStyle="1" w:styleId="paperauthor">
    <w:name w:val="paperauthor"/>
    <w:basedOn w:val="Normale"/>
    <w:rsid w:val="005166FE"/>
    <w:pPr>
      <w:spacing w:before="360" w:after="360"/>
      <w:jc w:val="center"/>
    </w:pPr>
    <w:rPr>
      <w:sz w:val="28"/>
      <w:szCs w:val="28"/>
    </w:rPr>
  </w:style>
  <w:style w:type="paragraph" w:customStyle="1" w:styleId="authoraffiliation">
    <w:name w:val="authoraffiliation"/>
    <w:basedOn w:val="Normale"/>
    <w:rsid w:val="005166FE"/>
    <w:pPr>
      <w:jc w:val="center"/>
    </w:pPr>
    <w:rPr>
      <w:i/>
      <w:iCs/>
      <w:sz w:val="20"/>
      <w:szCs w:val="20"/>
    </w:rPr>
  </w:style>
  <w:style w:type="paragraph" w:customStyle="1" w:styleId="paragraph">
    <w:name w:val="paragraph"/>
    <w:basedOn w:val="Normale"/>
    <w:rsid w:val="005166FE"/>
    <w:pPr>
      <w:ind w:firstLine="274"/>
      <w:jc w:val="both"/>
    </w:pPr>
    <w:rPr>
      <w:sz w:val="20"/>
      <w:szCs w:val="20"/>
    </w:rPr>
  </w:style>
  <w:style w:type="paragraph" w:customStyle="1" w:styleId="reference">
    <w:name w:val="reference"/>
    <w:basedOn w:val="Normale"/>
    <w:rsid w:val="005166FE"/>
    <w:pPr>
      <w:ind w:left="274" w:hanging="274"/>
      <w:jc w:val="both"/>
    </w:pPr>
    <w:rPr>
      <w:sz w:val="18"/>
      <w:szCs w:val="18"/>
    </w:rPr>
  </w:style>
  <w:style w:type="paragraph" w:customStyle="1" w:styleId="equation">
    <w:name w:val="equation"/>
    <w:basedOn w:val="Normale"/>
    <w:rsid w:val="005166FE"/>
    <w:pPr>
      <w:jc w:val="both"/>
    </w:pPr>
    <w:rPr>
      <w:sz w:val="20"/>
      <w:szCs w:val="20"/>
    </w:rPr>
  </w:style>
  <w:style w:type="character" w:styleId="Collegamentoipertestuale">
    <w:name w:val="Hyperlink"/>
    <w:uiPriority w:val="99"/>
    <w:unhideWhenUsed/>
    <w:rsid w:val="00EF3B71"/>
    <w:rPr>
      <w:color w:val="0563C1"/>
      <w:u w:val="single"/>
    </w:rPr>
  </w:style>
  <w:style w:type="character" w:styleId="Enfasigrassetto">
    <w:name w:val="Strong"/>
    <w:uiPriority w:val="22"/>
    <w:qFormat/>
    <w:rsid w:val="00EF3B71"/>
    <w:rPr>
      <w:b/>
      <w:bCs/>
    </w:rPr>
  </w:style>
  <w:style w:type="paragraph" w:styleId="NormaleWeb">
    <w:name w:val="Normal (Web)"/>
    <w:basedOn w:val="Normale"/>
    <w:uiPriority w:val="99"/>
    <w:unhideWhenUsed/>
    <w:rsid w:val="00EF3B71"/>
    <w:pPr>
      <w:spacing w:before="100" w:beforeAutospacing="1" w:after="100" w:afterAutospacing="1"/>
    </w:pPr>
  </w:style>
  <w:style w:type="paragraph" w:customStyle="1" w:styleId="Default">
    <w:name w:val="Default"/>
    <w:rsid w:val="00EF3B71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FRAISS~1\LOCALS~1\Temp\TEMPLATE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TEMPLATE3</Template>
  <TotalTime>14</TotalTime>
  <Pages>1</Pages>
  <Words>419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The Title Goes Here With Each Initial Letter Capitalized</vt:lpstr>
      <vt:lpstr>The Title Goes Here With Each Initial Letter Capitalized</vt:lpstr>
    </vt:vector>
  </TitlesOfParts>
  <Company>Synchrotron SOLEIL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Goes Here With Each Initial Letter Capitalized</dc:title>
  <dc:subject/>
  <dc:creator>fraissard</dc:creator>
  <cp:keywords/>
  <dc:description/>
  <cp:lastModifiedBy>Mary De Feudis</cp:lastModifiedBy>
  <cp:revision>7</cp:revision>
  <cp:lastPrinted>1899-12-31T23:00:00Z</cp:lastPrinted>
  <dcterms:created xsi:type="dcterms:W3CDTF">2022-06-13T07:16:00Z</dcterms:created>
  <dcterms:modified xsi:type="dcterms:W3CDTF">2025-10-22T08:00:00Z</dcterms:modified>
</cp:coreProperties>
</file>