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1225" w14:textId="436A065E" w:rsidR="005166FE" w:rsidRPr="002E40F1" w:rsidRDefault="003234E5" w:rsidP="005166FE">
      <w:pPr>
        <w:pStyle w:val="papertitle"/>
        <w:rPr>
          <w:rFonts w:ascii="Arial" w:hAnsi="Arial" w:cs="Arial"/>
          <w:lang w:val="en-GB"/>
        </w:rPr>
      </w:pPr>
      <w:r w:rsidRPr="003234E5">
        <w:rPr>
          <w:rFonts w:ascii="Arial" w:hAnsi="Arial" w:cs="Arial"/>
          <w:lang w:val="en-US"/>
        </w:rPr>
        <w:t>Irradiation Passport for Art (IPA)</w:t>
      </w:r>
    </w:p>
    <w:p w14:paraId="1DEAC827" w14:textId="77777777" w:rsidR="003234E5" w:rsidRPr="003234E5" w:rsidRDefault="003234E5" w:rsidP="003234E5">
      <w:pPr>
        <w:pStyle w:val="paperauthor"/>
        <w:rPr>
          <w:rFonts w:ascii="Arial" w:hAnsi="Arial" w:cs="Arial"/>
          <w:lang w:val="nl-NL"/>
        </w:rPr>
      </w:pPr>
      <w:r w:rsidRPr="003234E5">
        <w:rPr>
          <w:rFonts w:ascii="Arial" w:hAnsi="Arial" w:cs="Arial"/>
          <w:lang w:val="nl-NL"/>
        </w:rPr>
        <w:t>Ineke Joosten</w:t>
      </w:r>
      <w:r w:rsidRPr="003234E5">
        <w:rPr>
          <w:rFonts w:ascii="Arial" w:hAnsi="Arial" w:cs="Arial"/>
          <w:vertAlign w:val="superscript"/>
          <w:lang w:val="nl-NL"/>
        </w:rPr>
        <w:t>1*</w:t>
      </w:r>
      <w:r w:rsidRPr="003234E5">
        <w:rPr>
          <w:rFonts w:ascii="Arial" w:hAnsi="Arial" w:cs="Arial"/>
          <w:lang w:val="nl-NL"/>
        </w:rPr>
        <w:t>, K. Keune</w:t>
      </w:r>
      <w:r w:rsidRPr="003234E5">
        <w:rPr>
          <w:rFonts w:ascii="Arial" w:hAnsi="Arial" w:cs="Arial"/>
          <w:vertAlign w:val="superscript"/>
          <w:lang w:val="nl-NL"/>
        </w:rPr>
        <w:t>2</w:t>
      </w:r>
      <w:r w:rsidRPr="003234E5">
        <w:rPr>
          <w:rFonts w:ascii="Arial" w:hAnsi="Arial" w:cs="Arial"/>
          <w:lang w:val="nl-NL"/>
        </w:rPr>
        <w:t>, M. Stols-Witlox</w:t>
      </w:r>
      <w:r w:rsidRPr="003234E5">
        <w:rPr>
          <w:rFonts w:ascii="Arial" w:hAnsi="Arial" w:cs="Arial"/>
          <w:vertAlign w:val="superscript"/>
          <w:lang w:val="nl-NL"/>
        </w:rPr>
        <w:t>3</w:t>
      </w:r>
      <w:r w:rsidRPr="003234E5">
        <w:rPr>
          <w:rFonts w:ascii="Arial" w:hAnsi="Arial" w:cs="Arial"/>
          <w:lang w:val="nl-NL"/>
        </w:rPr>
        <w:t>, M. Tromp</w:t>
      </w:r>
      <w:r w:rsidRPr="003234E5">
        <w:rPr>
          <w:rFonts w:ascii="Arial" w:hAnsi="Arial" w:cs="Arial"/>
          <w:vertAlign w:val="superscript"/>
          <w:lang w:val="nl-NL"/>
        </w:rPr>
        <w:t>4</w:t>
      </w:r>
    </w:p>
    <w:p w14:paraId="1281D369" w14:textId="77777777" w:rsidR="00795B93" w:rsidRPr="00795B93" w:rsidRDefault="00795B93" w:rsidP="00795B93">
      <w:pPr>
        <w:pStyle w:val="authoraffiliation"/>
        <w:rPr>
          <w:rFonts w:ascii="Arial" w:hAnsi="Arial" w:cs="Arial"/>
          <w:lang w:val="en-US"/>
        </w:rPr>
      </w:pPr>
      <w:r w:rsidRPr="00795B93">
        <w:rPr>
          <w:rFonts w:ascii="Arial" w:hAnsi="Arial" w:cs="Arial"/>
          <w:vertAlign w:val="superscript"/>
          <w:lang w:val="en-US"/>
        </w:rPr>
        <w:t>1</w:t>
      </w:r>
      <w:r w:rsidRPr="00795B93">
        <w:rPr>
          <w:rFonts w:ascii="Arial" w:hAnsi="Arial" w:cs="Arial"/>
          <w:lang w:val="en-US"/>
        </w:rPr>
        <w:t>Cultural Heritage Agency of the Netherlands, Amsterdam, The Netherlands</w:t>
      </w:r>
    </w:p>
    <w:p w14:paraId="199823A9" w14:textId="77777777" w:rsidR="00795B93" w:rsidRPr="00795B93" w:rsidRDefault="00795B93" w:rsidP="00795B93">
      <w:pPr>
        <w:pStyle w:val="authoraffiliation"/>
        <w:rPr>
          <w:rFonts w:ascii="Arial" w:hAnsi="Arial" w:cs="Arial"/>
          <w:lang w:val="en-US"/>
        </w:rPr>
      </w:pPr>
      <w:r w:rsidRPr="00795B93">
        <w:rPr>
          <w:rFonts w:ascii="Arial" w:hAnsi="Arial" w:cs="Arial"/>
          <w:vertAlign w:val="superscript"/>
          <w:lang w:val="en-US"/>
        </w:rPr>
        <w:t>2</w:t>
      </w:r>
      <w:r w:rsidRPr="00795B93">
        <w:rPr>
          <w:rFonts w:ascii="Arial" w:hAnsi="Arial" w:cs="Arial"/>
          <w:lang w:val="en-US"/>
        </w:rPr>
        <w:t>Rijksmuseum, Amsterdam, The Netherlands</w:t>
      </w:r>
    </w:p>
    <w:p w14:paraId="7C9CCCED" w14:textId="77777777" w:rsidR="00795B93" w:rsidRPr="00795B93" w:rsidRDefault="00795B93" w:rsidP="00795B93">
      <w:pPr>
        <w:pStyle w:val="authoraffiliation"/>
        <w:rPr>
          <w:rFonts w:ascii="Arial" w:hAnsi="Arial" w:cs="Arial"/>
          <w:lang w:val="en-US"/>
        </w:rPr>
      </w:pPr>
      <w:r w:rsidRPr="00795B93">
        <w:rPr>
          <w:rFonts w:ascii="Arial" w:hAnsi="Arial" w:cs="Arial"/>
          <w:vertAlign w:val="superscript"/>
          <w:lang w:val="en-US"/>
        </w:rPr>
        <w:t>3</w:t>
      </w:r>
      <w:r w:rsidRPr="00795B93">
        <w:rPr>
          <w:rFonts w:ascii="Arial" w:hAnsi="Arial" w:cs="Arial"/>
          <w:lang w:val="en-US"/>
        </w:rPr>
        <w:t>University of Amsterdam, Amsterdam, the Netherlands</w:t>
      </w:r>
    </w:p>
    <w:p w14:paraId="266EABB1" w14:textId="77777777" w:rsidR="00795B93" w:rsidRPr="00795B93" w:rsidRDefault="00795B93" w:rsidP="00795B93">
      <w:pPr>
        <w:pStyle w:val="authoraffiliation"/>
        <w:rPr>
          <w:rFonts w:ascii="Arial" w:hAnsi="Arial" w:cs="Arial"/>
          <w:lang w:val="en-US"/>
        </w:rPr>
      </w:pPr>
      <w:r w:rsidRPr="00795B93">
        <w:rPr>
          <w:rFonts w:ascii="Arial" w:hAnsi="Arial" w:cs="Arial"/>
          <w:vertAlign w:val="superscript"/>
          <w:lang w:val="en-US"/>
        </w:rPr>
        <w:t>4</w:t>
      </w:r>
      <w:r w:rsidRPr="00795B93">
        <w:rPr>
          <w:rFonts w:ascii="Arial" w:hAnsi="Arial" w:cs="Arial"/>
          <w:lang w:val="en-US"/>
        </w:rPr>
        <w:t>University of Groningen, Groningen, The Netherlands</w:t>
      </w:r>
    </w:p>
    <w:p w14:paraId="73F22B01" w14:textId="77777777" w:rsidR="00795B93" w:rsidRDefault="00795B93" w:rsidP="00795B93">
      <w:pPr>
        <w:pStyle w:val="paragraph"/>
        <w:ind w:firstLine="0"/>
        <w:rPr>
          <w:rFonts w:ascii="Arial" w:hAnsi="Arial" w:cs="Arial"/>
          <w:sz w:val="22"/>
          <w:szCs w:val="22"/>
          <w:lang w:val="en-US"/>
        </w:rPr>
      </w:pPr>
    </w:p>
    <w:p w14:paraId="462151C3" w14:textId="5E1F8BC1" w:rsidR="005166FE" w:rsidRPr="002E40F1" w:rsidRDefault="003B794D" w:rsidP="00795B93">
      <w:pPr>
        <w:pStyle w:val="paragraph"/>
        <w:ind w:firstLine="0"/>
        <w:rPr>
          <w:rFonts w:ascii="Arial" w:hAnsi="Arial" w:cs="Arial"/>
          <w:sz w:val="22"/>
          <w:szCs w:val="22"/>
          <w:lang w:val="en-GB"/>
        </w:rPr>
      </w:pPr>
      <w:r w:rsidRPr="003B794D">
        <w:rPr>
          <w:rFonts w:ascii="Arial" w:hAnsi="Arial" w:cs="Arial"/>
          <w:sz w:val="22"/>
          <w:szCs w:val="22"/>
          <w:lang w:val="en-US"/>
        </w:rPr>
        <w:t xml:space="preserve">Objects of art are increasingly exposed to ionizing radiation as analytical techniques using intense photon, electron and ion beams produced by particle accelerators, synchrotrons, microscopes and other sources, are increasingly being applied for their study. Modern analytical techniques use the interactions of photons, electrons and ions with materials to identify the materials in the object. But interaction means that there is a chance of visible or invisible alterations, either permanent or temporary. The consequences of radiation in terms of long-term effects are not fully known. Several recent studies have shown that interactions between pigments and binding media are likely to significantly influence material response under irradiation </w:t>
      </w:r>
      <w:r w:rsidR="00FB549D">
        <w:rPr>
          <w:rFonts w:ascii="Arial" w:hAnsi="Arial" w:cs="Arial"/>
          <w:sz w:val="22"/>
          <w:szCs w:val="22"/>
          <w:lang w:val="en-US"/>
        </w:rPr>
        <w:t>(</w:t>
      </w:r>
      <w:r w:rsidRPr="003B794D">
        <w:rPr>
          <w:rFonts w:ascii="Arial" w:hAnsi="Arial" w:cs="Arial"/>
          <w:sz w:val="22"/>
          <w:szCs w:val="22"/>
          <w:lang w:val="en-US"/>
        </w:rPr>
        <w:t>1</w:t>
      </w:r>
      <w:r w:rsidR="00BF2189">
        <w:rPr>
          <w:rFonts w:ascii="Arial" w:hAnsi="Arial" w:cs="Arial"/>
          <w:sz w:val="22"/>
          <w:szCs w:val="22"/>
          <w:lang w:val="en-US"/>
        </w:rPr>
        <w:t xml:space="preserve"> </w:t>
      </w:r>
      <w:r w:rsidRPr="003B794D">
        <w:rPr>
          <w:rFonts w:ascii="Arial" w:hAnsi="Arial" w:cs="Arial"/>
          <w:sz w:val="22"/>
          <w:szCs w:val="22"/>
          <w:lang w:val="en-US"/>
        </w:rPr>
        <w:t xml:space="preserve">and </w:t>
      </w:r>
      <w:r w:rsidR="00BF2189">
        <w:rPr>
          <w:rFonts w:ascii="Arial" w:hAnsi="Arial" w:cs="Arial"/>
          <w:sz w:val="22"/>
          <w:szCs w:val="22"/>
          <w:lang w:val="en-US"/>
        </w:rPr>
        <w:t>2</w:t>
      </w:r>
      <w:r w:rsidR="00FB549D">
        <w:rPr>
          <w:rFonts w:ascii="Arial" w:hAnsi="Arial" w:cs="Arial"/>
          <w:sz w:val="22"/>
          <w:szCs w:val="22"/>
          <w:lang w:val="en-US"/>
        </w:rPr>
        <w:t>)</w:t>
      </w:r>
      <w:r w:rsidRPr="003B794D">
        <w:rPr>
          <w:rFonts w:ascii="Arial" w:hAnsi="Arial" w:cs="Arial"/>
          <w:sz w:val="22"/>
          <w:szCs w:val="22"/>
          <w:lang w:val="en-US"/>
        </w:rPr>
        <w:t xml:space="preserve">. </w:t>
      </w:r>
      <w:r w:rsidR="00795B93" w:rsidRPr="00795B93">
        <w:rPr>
          <w:rFonts w:ascii="Arial" w:hAnsi="Arial" w:cs="Arial"/>
          <w:sz w:val="22"/>
          <w:szCs w:val="22"/>
          <w:lang w:val="en-US"/>
        </w:rPr>
        <w:t>As is well known, exposure to radiation is of a cumulative nature. This fact is important for everyone involved in cultural heritage research and treatment, as this means that previous exposure of objects or environments may change the sensitivity of objects or research samples in future examinations, or may even alter the material characteristics if certain thresholds are surpassed. Therefore, it is important for the cultural heritage field to record and document the exposure of art objects as well as research samples to irradiation. This idea is the starting point of the project, the Irradiation Passport for Art (IPA), a database in which can be recorded the location, total exposure and circumstances of use of radiation. There is also space to monitor the irradiate spot afterwards. With such a passport, the field can work towards safer and more controlled use of radiation for the examination and treatment of cultural heritage. The passport can be used for research into the long-term effects of irradiation of objects of art. The information on earlier exposures is crucial for the selection of future areas of investigation and prevents double exposure. Finally, when a restoration treatment is planned it is of importance to know if and where an object was irradiated. The IPA project is led by conservation scientists, a physical chemist and a conservator and has the support of an international team with different irradiation expertise, in which important synchrotron-institutes and research institutes involved in research in cultural heritage are represented. The IPA database has been developed as a password-protected website that institutes can register for, which holds information on the exposure, all the relevant parameters that were used during the measurement and information on changes if they occurred. We hope that putting the information in the website will become part of the regular documentation process. The website is meant to be used by conservation scientists and conservators. It will not hold the actual data, this stays with the partner institutes that have uploaded the parameters. Partners can contact each other if they wish to have detailed information and would like to request examination results to be shared.</w:t>
      </w:r>
    </w:p>
    <w:p w14:paraId="7FC5AB55" w14:textId="34835A5A" w:rsidR="005166FE" w:rsidRPr="00297F1D" w:rsidRDefault="005166FE" w:rsidP="005166FE">
      <w:pPr>
        <w:pStyle w:val="Kop1"/>
        <w:rPr>
          <w:rFonts w:ascii="Arial" w:hAnsi="Arial" w:cs="Arial"/>
          <w:caps w:val="0"/>
          <w:color w:val="0000FF"/>
          <w:sz w:val="22"/>
          <w:szCs w:val="22"/>
          <w:lang w:val="en-GB"/>
        </w:rPr>
      </w:pPr>
      <w:r w:rsidRPr="002E40F1">
        <w:rPr>
          <w:rFonts w:ascii="Arial" w:hAnsi="Arial" w:cs="Arial"/>
          <w:sz w:val="22"/>
          <w:szCs w:val="22"/>
          <w:lang w:val="en-US"/>
        </w:rPr>
        <w:t>References</w:t>
      </w:r>
      <w:r w:rsidR="00297F1D">
        <w:rPr>
          <w:rFonts w:ascii="Arial" w:hAnsi="Arial" w:cs="Arial"/>
          <w:sz w:val="22"/>
          <w:szCs w:val="22"/>
          <w:lang w:val="en-US"/>
        </w:rPr>
        <w:t xml:space="preserve"> </w:t>
      </w:r>
    </w:p>
    <w:p w14:paraId="082A0276" w14:textId="2A201D50" w:rsidR="007C5EAF" w:rsidRPr="007C5EAF" w:rsidRDefault="005166FE" w:rsidP="007C5EAF">
      <w:pPr>
        <w:pStyle w:val="reference"/>
        <w:rPr>
          <w:rFonts w:ascii="Arial" w:hAnsi="Arial" w:cs="Arial"/>
          <w:sz w:val="15"/>
          <w:szCs w:val="15"/>
          <w:lang w:val="en-US"/>
        </w:rPr>
      </w:pPr>
      <w:r w:rsidRPr="002E40F1">
        <w:rPr>
          <w:rFonts w:ascii="Arial" w:hAnsi="Arial" w:cs="Arial"/>
          <w:sz w:val="15"/>
          <w:szCs w:val="15"/>
          <w:lang w:val="en-US"/>
        </w:rPr>
        <w:t xml:space="preserve">1.   </w:t>
      </w:r>
      <w:r w:rsidR="00FB549D">
        <w:rPr>
          <w:rFonts w:ascii="Arial" w:hAnsi="Arial" w:cs="Arial"/>
          <w:sz w:val="15"/>
          <w:szCs w:val="15"/>
          <w:lang w:val="en-US"/>
        </w:rPr>
        <w:t xml:space="preserve">L. </w:t>
      </w:r>
      <w:r w:rsidR="007C5EAF" w:rsidRPr="007C5EAF">
        <w:rPr>
          <w:rFonts w:ascii="Arial" w:hAnsi="Arial" w:cs="Arial"/>
          <w:sz w:val="15"/>
          <w:szCs w:val="15"/>
          <w:lang w:val="en-US"/>
        </w:rPr>
        <w:t xml:space="preserve">Bertrand, </w:t>
      </w:r>
      <w:r w:rsidR="00FB549D">
        <w:rPr>
          <w:rFonts w:ascii="Arial" w:hAnsi="Arial" w:cs="Arial"/>
          <w:sz w:val="15"/>
          <w:szCs w:val="15"/>
          <w:lang w:val="en-US"/>
        </w:rPr>
        <w:t xml:space="preserve">S. </w:t>
      </w:r>
      <w:r w:rsidR="007C5EAF" w:rsidRPr="007C5EAF">
        <w:rPr>
          <w:rFonts w:ascii="Arial" w:hAnsi="Arial" w:cs="Arial"/>
          <w:sz w:val="15"/>
          <w:szCs w:val="15"/>
          <w:lang w:val="en-US"/>
        </w:rPr>
        <w:t xml:space="preserve">Schöder, </w:t>
      </w:r>
      <w:r w:rsidR="00FB549D">
        <w:rPr>
          <w:rFonts w:ascii="Arial" w:hAnsi="Arial" w:cs="Arial"/>
          <w:sz w:val="15"/>
          <w:szCs w:val="15"/>
          <w:lang w:val="en-US"/>
        </w:rPr>
        <w:t xml:space="preserve">D. </w:t>
      </w:r>
      <w:r w:rsidR="007C5EAF" w:rsidRPr="007C5EAF">
        <w:rPr>
          <w:rFonts w:ascii="Arial" w:hAnsi="Arial" w:cs="Arial"/>
          <w:sz w:val="15"/>
          <w:szCs w:val="15"/>
          <w:lang w:val="en-US"/>
        </w:rPr>
        <w:t xml:space="preserve">Anglos, </w:t>
      </w:r>
      <w:r w:rsidR="00FB549D">
        <w:rPr>
          <w:rFonts w:ascii="Arial" w:hAnsi="Arial" w:cs="Arial"/>
          <w:sz w:val="15"/>
          <w:szCs w:val="15"/>
          <w:lang w:val="en-US"/>
        </w:rPr>
        <w:t xml:space="preserve">M. B. H. </w:t>
      </w:r>
      <w:r w:rsidR="007C5EAF" w:rsidRPr="007C5EAF">
        <w:rPr>
          <w:rFonts w:ascii="Arial" w:hAnsi="Arial" w:cs="Arial"/>
          <w:sz w:val="15"/>
          <w:szCs w:val="15"/>
          <w:lang w:val="en-US"/>
        </w:rPr>
        <w:t xml:space="preserve">Breese, </w:t>
      </w:r>
      <w:r w:rsidR="00FB549D">
        <w:rPr>
          <w:rFonts w:ascii="Arial" w:hAnsi="Arial" w:cs="Arial"/>
          <w:sz w:val="15"/>
          <w:szCs w:val="15"/>
          <w:lang w:val="en-US"/>
        </w:rPr>
        <w:t xml:space="preserve">K. </w:t>
      </w:r>
      <w:r w:rsidR="007C5EAF" w:rsidRPr="007C5EAF">
        <w:rPr>
          <w:rFonts w:ascii="Arial" w:hAnsi="Arial" w:cs="Arial"/>
          <w:sz w:val="15"/>
          <w:szCs w:val="15"/>
          <w:lang w:val="en-US"/>
        </w:rPr>
        <w:t xml:space="preserve">Janssens, </w:t>
      </w:r>
      <w:r w:rsidR="00FB549D">
        <w:rPr>
          <w:rFonts w:ascii="Arial" w:hAnsi="Arial" w:cs="Arial"/>
          <w:sz w:val="15"/>
          <w:szCs w:val="15"/>
          <w:lang w:val="en-US"/>
        </w:rPr>
        <w:t xml:space="preserve">M. </w:t>
      </w:r>
      <w:r w:rsidR="007C5EAF" w:rsidRPr="007C5EAF">
        <w:rPr>
          <w:rFonts w:ascii="Arial" w:hAnsi="Arial" w:cs="Arial"/>
          <w:sz w:val="15"/>
          <w:szCs w:val="15"/>
          <w:lang w:val="en-US"/>
        </w:rPr>
        <w:t xml:space="preserve">Moini and </w:t>
      </w:r>
      <w:r w:rsidR="00FB549D">
        <w:rPr>
          <w:rFonts w:ascii="Arial" w:hAnsi="Arial" w:cs="Arial"/>
          <w:sz w:val="15"/>
          <w:szCs w:val="15"/>
          <w:lang w:val="en-US"/>
        </w:rPr>
        <w:t xml:space="preserve">A. </w:t>
      </w:r>
      <w:r w:rsidR="007C5EAF" w:rsidRPr="007C5EAF">
        <w:rPr>
          <w:rFonts w:ascii="Arial" w:hAnsi="Arial" w:cs="Arial"/>
          <w:sz w:val="15"/>
          <w:szCs w:val="15"/>
          <w:lang w:val="en-US"/>
        </w:rPr>
        <w:t xml:space="preserve">Simon, </w:t>
      </w:r>
      <w:r w:rsidR="007C5EAF" w:rsidRPr="007C5EAF">
        <w:rPr>
          <w:rFonts w:ascii="Arial" w:hAnsi="Arial" w:cs="Arial"/>
          <w:i/>
          <w:iCs/>
          <w:sz w:val="15"/>
          <w:szCs w:val="15"/>
          <w:lang w:val="en-US"/>
        </w:rPr>
        <w:t>Trends in Analytical Chemistry</w:t>
      </w:r>
      <w:r w:rsidR="007C5EAF" w:rsidRPr="007C5EAF">
        <w:rPr>
          <w:rFonts w:ascii="Arial" w:hAnsi="Arial" w:cs="Arial"/>
          <w:sz w:val="15"/>
          <w:szCs w:val="15"/>
          <w:lang w:val="en-US"/>
        </w:rPr>
        <w:t xml:space="preserve"> </w:t>
      </w:r>
      <w:r w:rsidR="007C5EAF" w:rsidRPr="007C5EAF">
        <w:rPr>
          <w:rFonts w:ascii="Arial" w:hAnsi="Arial" w:cs="Arial"/>
          <w:b/>
          <w:bCs/>
          <w:sz w:val="15"/>
          <w:szCs w:val="15"/>
          <w:lang w:val="en-US"/>
        </w:rPr>
        <w:t>66</w:t>
      </w:r>
      <w:r w:rsidR="007C5EAF" w:rsidRPr="007C5EAF">
        <w:rPr>
          <w:rFonts w:ascii="Arial" w:hAnsi="Arial" w:cs="Arial"/>
          <w:sz w:val="15"/>
          <w:szCs w:val="15"/>
          <w:lang w:val="en-US"/>
        </w:rPr>
        <w:t xml:space="preserve"> 128–1452 </w:t>
      </w:r>
      <w:r w:rsidR="00FB549D" w:rsidRPr="007C5EAF">
        <w:rPr>
          <w:rFonts w:ascii="Arial" w:hAnsi="Arial" w:cs="Arial"/>
          <w:sz w:val="15"/>
          <w:szCs w:val="15"/>
          <w:lang w:val="en-US"/>
        </w:rPr>
        <w:t>(2015)</w:t>
      </w:r>
    </w:p>
    <w:p w14:paraId="59958941" w14:textId="0E5115D4" w:rsidR="005166FE" w:rsidRPr="00FB549D" w:rsidRDefault="00BF2189" w:rsidP="00FB549D">
      <w:pPr>
        <w:pStyle w:val="reference"/>
        <w:rPr>
          <w:rFonts w:ascii="Arial" w:hAnsi="Arial" w:cs="Arial"/>
          <w:sz w:val="15"/>
          <w:szCs w:val="15"/>
          <w:lang w:val="en-US"/>
        </w:rPr>
      </w:pPr>
      <w:r>
        <w:rPr>
          <w:rFonts w:ascii="Arial" w:hAnsi="Arial" w:cs="Arial"/>
          <w:sz w:val="15"/>
          <w:szCs w:val="15"/>
          <w:lang w:val="en-US"/>
        </w:rPr>
        <w:t>2</w:t>
      </w:r>
      <w:r w:rsidR="00FB549D">
        <w:rPr>
          <w:rFonts w:ascii="Arial" w:hAnsi="Arial" w:cs="Arial"/>
          <w:sz w:val="15"/>
          <w:szCs w:val="15"/>
          <w:lang w:val="en-US"/>
        </w:rPr>
        <w:t>.</w:t>
      </w:r>
      <w:r w:rsidR="007C5EAF" w:rsidRPr="007C5EAF">
        <w:rPr>
          <w:rFonts w:ascii="Arial" w:hAnsi="Arial" w:cs="Arial"/>
          <w:sz w:val="15"/>
          <w:szCs w:val="15"/>
          <w:lang w:val="en-US"/>
        </w:rPr>
        <w:t xml:space="preserve">   </w:t>
      </w:r>
      <w:r w:rsidR="00FB549D">
        <w:rPr>
          <w:rFonts w:ascii="Arial" w:hAnsi="Arial" w:cs="Arial"/>
          <w:sz w:val="15"/>
          <w:szCs w:val="15"/>
          <w:lang w:val="en-US"/>
        </w:rPr>
        <w:t xml:space="preserve">L. </w:t>
      </w:r>
      <w:r w:rsidR="007C5EAF" w:rsidRPr="007C5EAF">
        <w:rPr>
          <w:rFonts w:ascii="Arial" w:hAnsi="Arial" w:cs="Arial"/>
          <w:sz w:val="15"/>
          <w:szCs w:val="15"/>
          <w:lang w:val="en-US"/>
        </w:rPr>
        <w:t xml:space="preserve">Bertrand, </w:t>
      </w:r>
      <w:r w:rsidR="00FB549D">
        <w:rPr>
          <w:rFonts w:ascii="Arial" w:hAnsi="Arial" w:cs="Arial"/>
          <w:sz w:val="15"/>
          <w:szCs w:val="15"/>
          <w:lang w:val="en-US"/>
        </w:rPr>
        <w:t xml:space="preserve">S. </w:t>
      </w:r>
      <w:r w:rsidR="007C5EAF" w:rsidRPr="007C5EAF">
        <w:rPr>
          <w:rFonts w:ascii="Arial" w:hAnsi="Arial" w:cs="Arial"/>
          <w:sz w:val="15"/>
          <w:szCs w:val="15"/>
          <w:lang w:val="en-US"/>
        </w:rPr>
        <w:t xml:space="preserve">Schöder, </w:t>
      </w:r>
      <w:r w:rsidR="00FB549D">
        <w:rPr>
          <w:rFonts w:ascii="Arial" w:hAnsi="Arial" w:cs="Arial"/>
          <w:sz w:val="15"/>
          <w:szCs w:val="15"/>
          <w:lang w:val="en-US"/>
        </w:rPr>
        <w:t xml:space="preserve">I. </w:t>
      </w:r>
      <w:r w:rsidR="007C5EAF" w:rsidRPr="007C5EAF">
        <w:rPr>
          <w:rFonts w:ascii="Arial" w:hAnsi="Arial" w:cs="Arial"/>
          <w:sz w:val="15"/>
          <w:szCs w:val="15"/>
          <w:lang w:val="en-US"/>
        </w:rPr>
        <w:t xml:space="preserve">Joosten, </w:t>
      </w:r>
      <w:r w:rsidR="00FB549D">
        <w:rPr>
          <w:rFonts w:ascii="Arial" w:hAnsi="Arial" w:cs="Arial"/>
          <w:sz w:val="15"/>
          <w:szCs w:val="15"/>
          <w:lang w:val="en-US"/>
        </w:rPr>
        <w:t xml:space="preserve">S. </w:t>
      </w:r>
      <w:r w:rsidR="007C5EAF" w:rsidRPr="007C5EAF">
        <w:rPr>
          <w:rFonts w:ascii="Arial" w:hAnsi="Arial" w:cs="Arial"/>
          <w:sz w:val="15"/>
          <w:szCs w:val="15"/>
          <w:lang w:val="en-US"/>
        </w:rPr>
        <w:t xml:space="preserve">Webb, </w:t>
      </w:r>
      <w:r w:rsidR="00FB549D">
        <w:rPr>
          <w:rFonts w:ascii="Arial" w:hAnsi="Arial" w:cs="Arial"/>
          <w:sz w:val="15"/>
          <w:szCs w:val="15"/>
          <w:lang w:val="en-US"/>
        </w:rPr>
        <w:t xml:space="preserve">M. </w:t>
      </w:r>
      <w:r w:rsidR="007C5EAF" w:rsidRPr="007C5EAF">
        <w:rPr>
          <w:rFonts w:ascii="Arial" w:hAnsi="Arial" w:cs="Arial"/>
          <w:sz w:val="15"/>
          <w:szCs w:val="15"/>
          <w:lang w:val="en-US"/>
        </w:rPr>
        <w:t xml:space="preserve">Thoury, </w:t>
      </w:r>
      <w:r w:rsidR="00FB549D">
        <w:rPr>
          <w:rFonts w:ascii="Arial" w:hAnsi="Arial" w:cs="Arial"/>
          <w:sz w:val="15"/>
          <w:szCs w:val="15"/>
          <w:lang w:val="en-US"/>
        </w:rPr>
        <w:t xml:space="preserve">T. </w:t>
      </w:r>
      <w:r w:rsidR="007C5EAF" w:rsidRPr="007C5EAF">
        <w:rPr>
          <w:rFonts w:ascii="Arial" w:hAnsi="Arial" w:cs="Arial"/>
          <w:sz w:val="15"/>
          <w:szCs w:val="15"/>
          <w:lang w:val="en-US"/>
        </w:rPr>
        <w:t xml:space="preserve">Calligaro, </w:t>
      </w:r>
      <w:r w:rsidR="00FB549D">
        <w:rPr>
          <w:rFonts w:ascii="Arial" w:hAnsi="Arial" w:cs="Arial"/>
          <w:sz w:val="15"/>
          <w:szCs w:val="15"/>
          <w:lang w:val="en-US"/>
        </w:rPr>
        <w:t xml:space="preserve">E. </w:t>
      </w:r>
      <w:r w:rsidR="007C5EAF" w:rsidRPr="007C5EAF">
        <w:rPr>
          <w:rFonts w:ascii="Arial" w:hAnsi="Arial" w:cs="Arial"/>
          <w:sz w:val="15"/>
          <w:szCs w:val="15"/>
          <w:lang w:val="en-US"/>
        </w:rPr>
        <w:t xml:space="preserve">Anheim and </w:t>
      </w:r>
      <w:r w:rsidR="00FB549D">
        <w:rPr>
          <w:rFonts w:ascii="Arial" w:hAnsi="Arial" w:cs="Arial"/>
          <w:sz w:val="15"/>
          <w:szCs w:val="15"/>
          <w:lang w:val="en-US"/>
        </w:rPr>
        <w:t xml:space="preserve">A. </w:t>
      </w:r>
      <w:r w:rsidR="007C5EAF" w:rsidRPr="007C5EAF">
        <w:rPr>
          <w:rFonts w:ascii="Arial" w:hAnsi="Arial" w:cs="Arial"/>
          <w:sz w:val="15"/>
          <w:szCs w:val="15"/>
          <w:lang w:val="en-US"/>
        </w:rPr>
        <w:t>Simon</w:t>
      </w:r>
      <w:r w:rsidR="00FB549D">
        <w:rPr>
          <w:rFonts w:ascii="Arial" w:hAnsi="Arial" w:cs="Arial"/>
          <w:sz w:val="15"/>
          <w:szCs w:val="15"/>
          <w:lang w:val="en-US"/>
        </w:rPr>
        <w:t xml:space="preserve">, </w:t>
      </w:r>
      <w:r w:rsidR="007C5EAF" w:rsidRPr="007C5EAF">
        <w:rPr>
          <w:rFonts w:ascii="Arial" w:hAnsi="Arial" w:cs="Arial"/>
          <w:i/>
          <w:iCs/>
          <w:sz w:val="15"/>
          <w:szCs w:val="15"/>
          <w:lang w:val="en-US"/>
        </w:rPr>
        <w:t>Trends in Analytical Chemistry</w:t>
      </w:r>
      <w:r w:rsidR="007C5EAF" w:rsidRPr="007C5EAF">
        <w:rPr>
          <w:rFonts w:ascii="Arial" w:hAnsi="Arial" w:cs="Arial"/>
          <w:sz w:val="15"/>
          <w:szCs w:val="15"/>
          <w:lang w:val="en-US"/>
        </w:rPr>
        <w:t xml:space="preserve"> </w:t>
      </w:r>
      <w:r w:rsidR="007C5EAF" w:rsidRPr="007C5EAF">
        <w:rPr>
          <w:rFonts w:ascii="Arial" w:hAnsi="Arial" w:cs="Arial"/>
          <w:b/>
          <w:bCs/>
          <w:sz w:val="15"/>
          <w:szCs w:val="15"/>
          <w:lang w:val="en-US"/>
        </w:rPr>
        <w:t>164</w:t>
      </w:r>
      <w:r w:rsidR="007C5EAF" w:rsidRPr="007C5EAF">
        <w:rPr>
          <w:rFonts w:ascii="Arial" w:hAnsi="Arial" w:cs="Arial"/>
          <w:sz w:val="15"/>
          <w:szCs w:val="15"/>
          <w:lang w:val="en-US"/>
        </w:rPr>
        <w:t xml:space="preserve"> pp.117078</w:t>
      </w:r>
      <w:r w:rsidR="00FB549D">
        <w:rPr>
          <w:rFonts w:ascii="Arial" w:hAnsi="Arial" w:cs="Arial"/>
          <w:sz w:val="15"/>
          <w:szCs w:val="15"/>
          <w:lang w:val="en-US"/>
        </w:rPr>
        <w:t xml:space="preserve">, </w:t>
      </w:r>
      <w:r w:rsidR="007C5EAF" w:rsidRPr="007C5EAF">
        <w:rPr>
          <w:rFonts w:ascii="Arial" w:hAnsi="Arial" w:cs="Arial"/>
          <w:sz w:val="15"/>
          <w:szCs w:val="15"/>
          <w:lang w:val="en-US"/>
        </w:rPr>
        <w:t xml:space="preserve"> </w:t>
      </w:r>
      <w:r w:rsidR="00FB549D" w:rsidRPr="007C5EAF">
        <w:rPr>
          <w:rFonts w:ascii="Arial" w:hAnsi="Arial" w:cs="Arial"/>
          <w:sz w:val="15"/>
          <w:szCs w:val="15"/>
          <w:lang w:val="en-US"/>
        </w:rPr>
        <w:t>(2023)</w:t>
      </w:r>
    </w:p>
    <w:p w14:paraId="58BF5A21" w14:textId="77777777" w:rsidR="005166FE" w:rsidRPr="002E40F1" w:rsidRDefault="005166FE">
      <w:pPr>
        <w:rPr>
          <w:rFonts w:ascii="Arial" w:hAnsi="Arial" w:cs="Arial"/>
          <w:lang w:val="en-GB"/>
        </w:rPr>
      </w:pPr>
    </w:p>
    <w:sectPr w:rsidR="005166FE" w:rsidRPr="002E4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12A85"/>
    <w:rsid w:val="00041ED8"/>
    <w:rsid w:val="00297F1D"/>
    <w:rsid w:val="002E40F1"/>
    <w:rsid w:val="003234E5"/>
    <w:rsid w:val="003B794D"/>
    <w:rsid w:val="004A35A7"/>
    <w:rsid w:val="005166FE"/>
    <w:rsid w:val="0063764B"/>
    <w:rsid w:val="006477D0"/>
    <w:rsid w:val="00795B93"/>
    <w:rsid w:val="007C5EAF"/>
    <w:rsid w:val="007E7378"/>
    <w:rsid w:val="008D4E08"/>
    <w:rsid w:val="0091292E"/>
    <w:rsid w:val="00AB1846"/>
    <w:rsid w:val="00B06DCF"/>
    <w:rsid w:val="00BF2189"/>
    <w:rsid w:val="00CF36A0"/>
    <w:rsid w:val="00DF3681"/>
    <w:rsid w:val="00E30A4A"/>
    <w:rsid w:val="00FB549D"/>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FA24C"/>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fr-FR" w:eastAsia="fr-FR"/>
    </w:rPr>
  </w:style>
  <w:style w:type="paragraph" w:styleId="Kop1">
    <w:name w:val="heading 1"/>
    <w:basedOn w:val="Standaard"/>
    <w:qFormat/>
    <w:rsid w:val="005166FE"/>
    <w:pPr>
      <w:keepNext/>
      <w:spacing w:before="240" w:after="240"/>
      <w:jc w:val="center"/>
      <w:outlineLvl w:val="0"/>
    </w:pPr>
    <w:rPr>
      <w:b/>
      <w:bCs/>
      <w:caps/>
      <w:kern w:val="3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pertitle">
    <w:name w:val="papertitle"/>
    <w:basedOn w:val="Standaard"/>
    <w:rsid w:val="005166FE"/>
    <w:pPr>
      <w:spacing w:before="960"/>
      <w:jc w:val="center"/>
    </w:pPr>
    <w:rPr>
      <w:b/>
      <w:bCs/>
      <w:sz w:val="36"/>
      <w:szCs w:val="36"/>
    </w:rPr>
  </w:style>
  <w:style w:type="paragraph" w:customStyle="1" w:styleId="paperauthor">
    <w:name w:val="paperauthor"/>
    <w:basedOn w:val="Standaard"/>
    <w:rsid w:val="005166FE"/>
    <w:pPr>
      <w:spacing w:before="360" w:after="360"/>
      <w:jc w:val="center"/>
    </w:pPr>
    <w:rPr>
      <w:sz w:val="28"/>
      <w:szCs w:val="28"/>
    </w:rPr>
  </w:style>
  <w:style w:type="paragraph" w:customStyle="1" w:styleId="authoraffiliation">
    <w:name w:val="authoraffiliation"/>
    <w:basedOn w:val="Standaard"/>
    <w:rsid w:val="005166FE"/>
    <w:pPr>
      <w:jc w:val="center"/>
    </w:pPr>
    <w:rPr>
      <w:i/>
      <w:iCs/>
      <w:sz w:val="20"/>
      <w:szCs w:val="20"/>
    </w:rPr>
  </w:style>
  <w:style w:type="paragraph" w:customStyle="1" w:styleId="paragraph">
    <w:name w:val="paragraph"/>
    <w:basedOn w:val="Standaard"/>
    <w:rsid w:val="005166FE"/>
    <w:pPr>
      <w:ind w:firstLine="274"/>
      <w:jc w:val="both"/>
    </w:pPr>
    <w:rPr>
      <w:sz w:val="20"/>
      <w:szCs w:val="20"/>
    </w:rPr>
  </w:style>
  <w:style w:type="paragraph" w:customStyle="1" w:styleId="reference">
    <w:name w:val="reference"/>
    <w:basedOn w:val="Standaard"/>
    <w:rsid w:val="005166FE"/>
    <w:pPr>
      <w:ind w:left="274" w:hanging="274"/>
      <w:jc w:val="both"/>
    </w:pPr>
    <w:rPr>
      <w:sz w:val="18"/>
      <w:szCs w:val="18"/>
    </w:rPr>
  </w:style>
  <w:style w:type="paragraph" w:customStyle="1" w:styleId="equation">
    <w:name w:val="equation"/>
    <w:basedOn w:val="Standaard"/>
    <w:rsid w:val="005166FE"/>
    <w:pPr>
      <w:jc w:val="both"/>
    </w:pPr>
    <w:rPr>
      <w:sz w:val="20"/>
      <w:szCs w:val="20"/>
    </w:rPr>
  </w:style>
  <w:style w:type="paragraph" w:styleId="Normaalweb">
    <w:name w:val="Normal (Web)"/>
    <w:basedOn w:val="Standaard"/>
    <w:uiPriority w:val="99"/>
    <w:unhideWhenUsed/>
    <w:rsid w:val="007C5EAF"/>
    <w:pPr>
      <w:spacing w:before="100" w:beforeAutospacing="1" w:after="100" w:afterAutospacing="1"/>
    </w:pPr>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 w:id="480275390">
      <w:bodyDiv w:val="1"/>
      <w:marLeft w:val="0"/>
      <w:marRight w:val="0"/>
      <w:marTop w:val="0"/>
      <w:marBottom w:val="0"/>
      <w:divBdr>
        <w:top w:val="none" w:sz="0" w:space="0" w:color="auto"/>
        <w:left w:val="none" w:sz="0" w:space="0" w:color="auto"/>
        <w:bottom w:val="none" w:sz="0" w:space="0" w:color="auto"/>
        <w:right w:val="none" w:sz="0" w:space="0" w:color="auto"/>
      </w:divBdr>
    </w:div>
    <w:div w:id="857546289">
      <w:bodyDiv w:val="1"/>
      <w:marLeft w:val="0"/>
      <w:marRight w:val="0"/>
      <w:marTop w:val="0"/>
      <w:marBottom w:val="0"/>
      <w:divBdr>
        <w:top w:val="none" w:sz="0" w:space="0" w:color="auto"/>
        <w:left w:val="none" w:sz="0" w:space="0" w:color="auto"/>
        <w:bottom w:val="none" w:sz="0" w:space="0" w:color="auto"/>
        <w:right w:val="none" w:sz="0" w:space="0" w:color="auto"/>
      </w:divBdr>
    </w:div>
    <w:div w:id="1722751008">
      <w:bodyDiv w:val="1"/>
      <w:marLeft w:val="0"/>
      <w:marRight w:val="0"/>
      <w:marTop w:val="0"/>
      <w:marBottom w:val="0"/>
      <w:divBdr>
        <w:top w:val="none" w:sz="0" w:space="0" w:color="auto"/>
        <w:left w:val="none" w:sz="0" w:space="0" w:color="auto"/>
        <w:bottom w:val="none" w:sz="0" w:space="0" w:color="auto"/>
        <w:right w:val="none" w:sz="0" w:space="0" w:color="auto"/>
      </w:divBdr>
    </w:div>
    <w:div w:id="212299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27</TotalTime>
  <Pages>1</Pages>
  <Words>553</Words>
  <Characters>3096</Characters>
  <Application>Microsoft Office Word</Application>
  <DocSecurity>0</DocSecurity>
  <Lines>25</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Joosten, Ineke</cp:lastModifiedBy>
  <cp:revision>3</cp:revision>
  <cp:lastPrinted>1899-12-31T23:00:00Z</cp:lastPrinted>
  <dcterms:created xsi:type="dcterms:W3CDTF">2025-12-12T17:10:00Z</dcterms:created>
  <dcterms:modified xsi:type="dcterms:W3CDTF">2025-12-15T10:35:00Z</dcterms:modified>
</cp:coreProperties>
</file>