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0857" w:rsidRPr="00970857" w:rsidRDefault="00970857" w:rsidP="00970857">
      <w:pPr>
        <w:pStyle w:val="papertitle"/>
        <w:rPr>
          <w:rFonts w:ascii="Arial" w:hAnsi="Arial" w:cs="Arial"/>
          <w:lang w:val="en-GB"/>
        </w:rPr>
      </w:pPr>
      <w:r>
        <w:rPr>
          <w:rFonts w:ascii="Arial" w:hAnsi="Arial" w:cs="Arial"/>
          <w:lang w:val="en-US"/>
        </w:rPr>
        <w:t xml:space="preserve">High-Entropy Nanoalloys: Insight </w:t>
      </w:r>
      <w:proofErr w:type="gramStart"/>
      <w:r>
        <w:rPr>
          <w:rFonts w:ascii="Arial" w:hAnsi="Arial" w:cs="Arial"/>
          <w:lang w:val="en-US"/>
        </w:rPr>
        <w:t>Into</w:t>
      </w:r>
      <w:proofErr w:type="gramEnd"/>
      <w:r>
        <w:rPr>
          <w:rFonts w:ascii="Arial" w:hAnsi="Arial" w:cs="Arial"/>
          <w:lang w:val="en-US"/>
        </w:rPr>
        <w:t xml:space="preserve"> Formation And Structural Transformation By Electron Microscopy and X-ray Absorption Spectroscopy</w:t>
      </w:r>
    </w:p>
    <w:p w:rsidR="005166FE" w:rsidRPr="00970857" w:rsidRDefault="00970857" w:rsidP="005166FE">
      <w:pPr>
        <w:pStyle w:val="paperauthor"/>
        <w:rPr>
          <w:rFonts w:ascii="Arial" w:hAnsi="Arial" w:cs="Arial"/>
          <w:vertAlign w:val="superscript"/>
        </w:rPr>
      </w:pPr>
      <w:r w:rsidRPr="00970857">
        <w:rPr>
          <w:rFonts w:ascii="Arial" w:hAnsi="Arial" w:cs="Arial"/>
        </w:rPr>
        <w:t>N. Mirgot</w:t>
      </w:r>
      <w:r>
        <w:rPr>
          <w:rFonts w:ascii="Arial" w:hAnsi="Arial" w:cs="Arial"/>
          <w:vertAlign w:val="superscript"/>
        </w:rPr>
        <w:t>1,2</w:t>
      </w:r>
      <w:r w:rsidRPr="00970857">
        <w:rPr>
          <w:rFonts w:ascii="Arial" w:hAnsi="Arial" w:cs="Arial"/>
        </w:rPr>
        <w:t>, S. Nouma</w:t>
      </w:r>
      <w:r>
        <w:rPr>
          <w:rFonts w:ascii="Arial" w:hAnsi="Arial" w:cs="Arial"/>
          <w:vertAlign w:val="superscript"/>
        </w:rPr>
        <w:t>2</w:t>
      </w:r>
      <w:r w:rsidRPr="00970857">
        <w:rPr>
          <w:rFonts w:ascii="Arial" w:hAnsi="Arial" w:cs="Arial"/>
        </w:rPr>
        <w:t>, N. Zhamantay</w:t>
      </w:r>
      <w:r>
        <w:rPr>
          <w:rFonts w:ascii="Arial" w:hAnsi="Arial" w:cs="Arial"/>
          <w:vertAlign w:val="superscript"/>
        </w:rPr>
        <w:t>2</w:t>
      </w:r>
      <w:r w:rsidRPr="00970857">
        <w:rPr>
          <w:rFonts w:ascii="Arial" w:hAnsi="Arial" w:cs="Arial"/>
        </w:rPr>
        <w:t>, M. Campolucci</w:t>
      </w:r>
      <w:r>
        <w:rPr>
          <w:rFonts w:ascii="Arial" w:hAnsi="Arial" w:cs="Arial"/>
          <w:vertAlign w:val="superscript"/>
        </w:rPr>
        <w:t>3</w:t>
      </w:r>
      <w:r w:rsidRPr="00970857">
        <w:rPr>
          <w:rFonts w:ascii="Arial" w:hAnsi="Arial" w:cs="Arial"/>
        </w:rPr>
        <w:t>, M.</w:t>
      </w:r>
      <w:r>
        <w:rPr>
          <w:rFonts w:ascii="Arial" w:hAnsi="Arial" w:cs="Arial"/>
        </w:rPr>
        <w:t xml:space="preserve"> Faustini</w:t>
      </w:r>
      <w:r>
        <w:rPr>
          <w:rFonts w:ascii="Arial" w:hAnsi="Arial" w:cs="Arial"/>
          <w:vertAlign w:val="superscript"/>
        </w:rPr>
        <w:t>3</w:t>
      </w:r>
      <w:r>
        <w:rPr>
          <w:rFonts w:ascii="Arial" w:hAnsi="Arial" w:cs="Arial"/>
        </w:rPr>
        <w:t>, O. Ersen</w:t>
      </w:r>
      <w:r>
        <w:rPr>
          <w:rFonts w:ascii="Arial" w:hAnsi="Arial" w:cs="Arial"/>
          <w:vertAlign w:val="superscript"/>
        </w:rPr>
        <w:t>2</w:t>
      </w:r>
      <w:r>
        <w:rPr>
          <w:rFonts w:ascii="Arial" w:hAnsi="Arial" w:cs="Arial"/>
        </w:rPr>
        <w:t>, M.L. De Marco</w:t>
      </w:r>
      <w:r>
        <w:rPr>
          <w:rFonts w:ascii="Arial" w:hAnsi="Arial" w:cs="Arial"/>
          <w:vertAlign w:val="superscript"/>
        </w:rPr>
        <w:t>2</w:t>
      </w:r>
      <w:r>
        <w:rPr>
          <w:rFonts w:ascii="Arial" w:hAnsi="Arial" w:cs="Arial"/>
        </w:rPr>
        <w:t>, V. Briois</w:t>
      </w:r>
      <w:r>
        <w:rPr>
          <w:rFonts w:ascii="Arial" w:hAnsi="Arial" w:cs="Arial"/>
          <w:vertAlign w:val="superscript"/>
        </w:rPr>
        <w:t>1</w:t>
      </w:r>
    </w:p>
    <w:p w:rsidR="005166FE" w:rsidRPr="005B049F" w:rsidRDefault="00970857" w:rsidP="005166FE">
      <w:pPr>
        <w:pStyle w:val="authoraffiliation"/>
        <w:rPr>
          <w:rFonts w:ascii="Arial" w:hAnsi="Arial" w:cs="Arial"/>
          <w:i w:val="0"/>
        </w:rPr>
      </w:pPr>
      <w:r w:rsidRPr="005B049F">
        <w:rPr>
          <w:rFonts w:ascii="Arial" w:hAnsi="Arial" w:cs="Arial"/>
          <w:i w:val="0"/>
          <w:vertAlign w:val="superscript"/>
        </w:rPr>
        <w:t>1</w:t>
      </w:r>
      <w:r w:rsidRPr="005B049F">
        <w:rPr>
          <w:rFonts w:ascii="Arial" w:hAnsi="Arial" w:cs="Arial"/>
          <w:i w:val="0"/>
        </w:rPr>
        <w:t>Synchrotron SOLEIL, L’Orme des Merisiers, Départementale 128, 91190 Saint-Aubin</w:t>
      </w:r>
      <w:r w:rsidRPr="005B049F">
        <w:rPr>
          <w:rFonts w:ascii="Arial" w:hAnsi="Arial" w:cs="Arial"/>
          <w:i w:val="0"/>
        </w:rPr>
        <w:br/>
      </w:r>
      <w:r w:rsidRPr="005B049F">
        <w:rPr>
          <w:rFonts w:ascii="Arial" w:hAnsi="Arial" w:cs="Arial"/>
          <w:i w:val="0"/>
          <w:vertAlign w:val="superscript"/>
        </w:rPr>
        <w:t>2</w:t>
      </w:r>
      <w:r w:rsidRPr="005B049F">
        <w:rPr>
          <w:rFonts w:ascii="Arial" w:hAnsi="Arial" w:cs="Arial"/>
          <w:i w:val="0"/>
        </w:rPr>
        <w:t xml:space="preserve">IPCMS, 23 rue du </w:t>
      </w:r>
      <w:proofErr w:type="spellStart"/>
      <w:r w:rsidRPr="005B049F">
        <w:rPr>
          <w:rFonts w:ascii="Arial" w:hAnsi="Arial" w:cs="Arial"/>
          <w:i w:val="0"/>
        </w:rPr>
        <w:t>Loess</w:t>
      </w:r>
      <w:proofErr w:type="spellEnd"/>
      <w:r w:rsidRPr="005B049F">
        <w:rPr>
          <w:rFonts w:ascii="Arial" w:hAnsi="Arial" w:cs="Arial"/>
          <w:i w:val="0"/>
        </w:rPr>
        <w:t xml:space="preserve"> (Bât. 69), BP 43, 67034, Strasbourg Cedex 2, France</w:t>
      </w:r>
      <w:r w:rsidRPr="005B049F">
        <w:rPr>
          <w:rFonts w:ascii="Arial" w:hAnsi="Arial" w:cs="Arial"/>
          <w:i w:val="0"/>
        </w:rPr>
        <w:br/>
      </w:r>
      <w:r w:rsidRPr="005B049F">
        <w:rPr>
          <w:rFonts w:ascii="Arial" w:hAnsi="Arial" w:cs="Arial"/>
          <w:i w:val="0"/>
          <w:vertAlign w:val="superscript"/>
        </w:rPr>
        <w:t>3</w:t>
      </w:r>
      <w:r w:rsidRPr="005B049F">
        <w:rPr>
          <w:rFonts w:ascii="Arial" w:hAnsi="Arial" w:cs="Arial"/>
          <w:i w:val="0"/>
        </w:rPr>
        <w:t>LCMCP, Sorbonne Université – 4 Tour 44-43 / Et. 4, 4 Place Jussieu, 75005, Paris</w:t>
      </w:r>
    </w:p>
    <w:p w:rsidR="005166FE" w:rsidRPr="002E40F1" w:rsidRDefault="005166FE" w:rsidP="005166FE">
      <w:pPr>
        <w:pStyle w:val="Titre1"/>
        <w:rPr>
          <w:rFonts w:ascii="Arial" w:hAnsi="Arial" w:cs="Arial"/>
          <w:sz w:val="22"/>
          <w:szCs w:val="22"/>
          <w:lang w:val="en-GB"/>
        </w:rPr>
      </w:pPr>
      <w:r w:rsidRPr="002E40F1">
        <w:rPr>
          <w:rFonts w:ascii="Arial" w:hAnsi="Arial" w:cs="Arial"/>
          <w:sz w:val="22"/>
          <w:szCs w:val="22"/>
          <w:lang w:val="en-US"/>
        </w:rPr>
        <w:t xml:space="preserve">ABSTRACT </w:t>
      </w:r>
    </w:p>
    <w:p w:rsidR="005166FE" w:rsidRPr="0000026A" w:rsidRDefault="00970857" w:rsidP="00970857">
      <w:pPr>
        <w:pStyle w:val="paragraph"/>
        <w:rPr>
          <w:rFonts w:ascii="Arial" w:hAnsi="Arial" w:cs="Arial"/>
          <w:sz w:val="22"/>
          <w:szCs w:val="22"/>
          <w:lang w:val="en-GB"/>
        </w:rPr>
      </w:pPr>
      <w:r w:rsidRPr="0000026A">
        <w:rPr>
          <w:rFonts w:ascii="Arial" w:hAnsi="Arial" w:cs="Arial"/>
          <w:sz w:val="22"/>
          <w:szCs w:val="22"/>
          <w:lang w:val="en-GB"/>
        </w:rPr>
        <w:t xml:space="preserve">High-Entropy Alloys (HEAs) represent an emerging class of </w:t>
      </w:r>
      <w:proofErr w:type="spellStart"/>
      <w:r w:rsidRPr="0000026A">
        <w:rPr>
          <w:rFonts w:ascii="Arial" w:hAnsi="Arial" w:cs="Arial"/>
          <w:sz w:val="22"/>
          <w:szCs w:val="22"/>
          <w:lang w:val="en-GB"/>
        </w:rPr>
        <w:t>multimetallic</w:t>
      </w:r>
      <w:proofErr w:type="spellEnd"/>
      <w:r w:rsidRPr="0000026A">
        <w:rPr>
          <w:rFonts w:ascii="Arial" w:hAnsi="Arial" w:cs="Arial"/>
          <w:sz w:val="22"/>
          <w:szCs w:val="22"/>
          <w:lang w:val="en-GB"/>
        </w:rPr>
        <w:t xml:space="preserve"> materials with strong potential for catalysis and energy-related applications. Composed of at least five </w:t>
      </w:r>
      <w:bookmarkStart w:id="0" w:name="_GoBack"/>
      <w:bookmarkEnd w:id="0"/>
      <w:r w:rsidRPr="0000026A">
        <w:rPr>
          <w:rFonts w:ascii="Arial" w:hAnsi="Arial" w:cs="Arial"/>
          <w:sz w:val="22"/>
          <w:szCs w:val="22"/>
          <w:lang w:val="en-GB"/>
        </w:rPr>
        <w:t>elements in near-</w:t>
      </w:r>
      <w:proofErr w:type="spellStart"/>
      <w:r w:rsidRPr="0000026A">
        <w:rPr>
          <w:rFonts w:ascii="Arial" w:hAnsi="Arial" w:cs="Arial"/>
          <w:sz w:val="22"/>
          <w:szCs w:val="22"/>
          <w:lang w:val="en-GB"/>
        </w:rPr>
        <w:t>equiatomic</w:t>
      </w:r>
      <w:proofErr w:type="spellEnd"/>
      <w:r w:rsidRPr="0000026A">
        <w:rPr>
          <w:rFonts w:ascii="Arial" w:hAnsi="Arial" w:cs="Arial"/>
          <w:sz w:val="22"/>
          <w:szCs w:val="22"/>
          <w:lang w:val="en-GB"/>
        </w:rPr>
        <w:t xml:space="preserve"> proportions, they enable fine tuning of their electronic and structural properties [1, 2]. However, their chemical complexity and the richness of their transformations under operating conditions make their characterization particularly challenging, limiting the understanding of structure-property relationships.</w:t>
      </w:r>
      <w:r w:rsidRPr="0000026A">
        <w:rPr>
          <w:rFonts w:ascii="Arial" w:hAnsi="Arial" w:cs="Arial"/>
          <w:sz w:val="22"/>
          <w:szCs w:val="22"/>
          <w:lang w:val="en-GB"/>
        </w:rPr>
        <w:br/>
      </w:r>
      <w:r w:rsidR="005166FE" w:rsidRPr="0000026A">
        <w:rPr>
          <w:rFonts w:ascii="Arial" w:hAnsi="Arial" w:cs="Arial"/>
          <w:sz w:val="22"/>
          <w:szCs w:val="22"/>
          <w:lang w:val="en-US"/>
        </w:rPr>
        <w:t> </w:t>
      </w:r>
    </w:p>
    <w:p w:rsidR="00970857" w:rsidRPr="0000026A" w:rsidRDefault="00970857" w:rsidP="00970857">
      <w:pPr>
        <w:pStyle w:val="paragraph"/>
        <w:rPr>
          <w:rFonts w:ascii="Arial" w:hAnsi="Arial" w:cs="Arial"/>
          <w:sz w:val="22"/>
          <w:szCs w:val="22"/>
          <w:lang w:val="en-GB"/>
        </w:rPr>
      </w:pPr>
      <w:r w:rsidRPr="0000026A">
        <w:rPr>
          <w:rFonts w:ascii="Arial" w:hAnsi="Arial" w:cs="Arial"/>
          <w:sz w:val="22"/>
          <w:szCs w:val="22"/>
          <w:lang w:val="en-GB"/>
        </w:rPr>
        <w:t xml:space="preserve">In this context, we propose a correlative approach combining transmission electron microscopy (TEM) and X-ray absorption spectroscopy (XAS), including </w:t>
      </w:r>
      <w:r w:rsidRPr="0000026A">
        <w:rPr>
          <w:rFonts w:ascii="Arial" w:hAnsi="Arial" w:cs="Arial"/>
          <w:i/>
          <w:sz w:val="22"/>
          <w:szCs w:val="22"/>
          <w:lang w:val="en-GB"/>
        </w:rPr>
        <w:t>in situ</w:t>
      </w:r>
      <w:r w:rsidRPr="0000026A">
        <w:rPr>
          <w:rFonts w:ascii="Arial" w:hAnsi="Arial" w:cs="Arial"/>
          <w:sz w:val="22"/>
          <w:szCs w:val="22"/>
          <w:lang w:val="en-GB"/>
        </w:rPr>
        <w:t xml:space="preserve"> experiments, to investigate the formation of porous HEA-based nanocrystalline particles. These materials are synthetized through polymer templated spray-drying, a protocol that allows to easily tune the chemical composition [3]. We studied three systems: </w:t>
      </w:r>
      <w:proofErr w:type="spellStart"/>
      <w:r w:rsidRPr="0000026A">
        <w:rPr>
          <w:rFonts w:ascii="Arial" w:hAnsi="Arial" w:cs="Arial"/>
          <w:sz w:val="22"/>
          <w:szCs w:val="22"/>
          <w:lang w:val="en-GB"/>
        </w:rPr>
        <w:t>RuRhPdIrPt</w:t>
      </w:r>
      <w:proofErr w:type="spellEnd"/>
      <w:r w:rsidRPr="0000026A">
        <w:rPr>
          <w:rFonts w:ascii="Arial" w:hAnsi="Arial" w:cs="Arial"/>
          <w:sz w:val="22"/>
          <w:szCs w:val="22"/>
          <w:lang w:val="en-GB"/>
        </w:rPr>
        <w:t xml:space="preserve"> (S6), </w:t>
      </w:r>
      <w:proofErr w:type="spellStart"/>
      <w:r w:rsidRPr="0000026A">
        <w:rPr>
          <w:rFonts w:ascii="Arial" w:hAnsi="Arial" w:cs="Arial"/>
          <w:sz w:val="22"/>
          <w:szCs w:val="22"/>
          <w:lang w:val="en-GB"/>
        </w:rPr>
        <w:t>NiRuRhIrPt</w:t>
      </w:r>
      <w:proofErr w:type="spellEnd"/>
      <w:r w:rsidRPr="0000026A">
        <w:rPr>
          <w:rFonts w:ascii="Arial" w:hAnsi="Arial" w:cs="Arial"/>
          <w:sz w:val="22"/>
          <w:szCs w:val="22"/>
          <w:lang w:val="en-GB"/>
        </w:rPr>
        <w:t xml:space="preserve"> (S7) and </w:t>
      </w:r>
      <w:proofErr w:type="spellStart"/>
      <w:r w:rsidRPr="0000026A">
        <w:rPr>
          <w:rFonts w:ascii="Arial" w:hAnsi="Arial" w:cs="Arial"/>
          <w:sz w:val="22"/>
          <w:szCs w:val="22"/>
          <w:lang w:val="en-GB"/>
        </w:rPr>
        <w:t>NiRuRhPdIr</w:t>
      </w:r>
      <w:proofErr w:type="spellEnd"/>
      <w:r w:rsidRPr="0000026A">
        <w:rPr>
          <w:rFonts w:ascii="Arial" w:hAnsi="Arial" w:cs="Arial"/>
          <w:sz w:val="22"/>
          <w:szCs w:val="22"/>
          <w:lang w:val="en-GB"/>
        </w:rPr>
        <w:t xml:space="preserve"> (S16), with the objective of understanding the effect of replacing noble metals with non-noble metals on morphology and chemical segregation. </w:t>
      </w:r>
    </w:p>
    <w:p w:rsidR="00970857" w:rsidRPr="0000026A" w:rsidRDefault="00970857" w:rsidP="00970857">
      <w:pPr>
        <w:pStyle w:val="paragraph"/>
        <w:rPr>
          <w:rFonts w:ascii="Arial" w:hAnsi="Arial" w:cs="Arial"/>
          <w:sz w:val="22"/>
          <w:szCs w:val="22"/>
          <w:lang w:val="en-GB"/>
        </w:rPr>
      </w:pPr>
      <w:r w:rsidRPr="0000026A">
        <w:rPr>
          <w:rFonts w:ascii="Arial" w:hAnsi="Arial" w:cs="Arial"/>
          <w:i/>
          <w:sz w:val="22"/>
          <w:szCs w:val="22"/>
          <w:lang w:val="en-GB"/>
        </w:rPr>
        <w:t>Ex situ</w:t>
      </w:r>
      <w:r w:rsidRPr="0000026A">
        <w:rPr>
          <w:rFonts w:ascii="Arial" w:hAnsi="Arial" w:cs="Arial"/>
          <w:sz w:val="22"/>
          <w:szCs w:val="22"/>
          <w:lang w:val="en-GB"/>
        </w:rPr>
        <w:t xml:space="preserve"> XAS and TEM analyses revealed that the first two systems exhibit structurally and chemically homogeneous nanocrystals with narrow size distribution. However, replacing Pt by Ni leads to pronounced phase segregation into Pd-rich domains and </w:t>
      </w:r>
      <w:proofErr w:type="spellStart"/>
      <w:r w:rsidRPr="0000026A">
        <w:rPr>
          <w:rFonts w:ascii="Arial" w:hAnsi="Arial" w:cs="Arial"/>
          <w:sz w:val="22"/>
          <w:szCs w:val="22"/>
          <w:lang w:val="en-GB"/>
        </w:rPr>
        <w:t>NiRhIr</w:t>
      </w:r>
      <w:proofErr w:type="spellEnd"/>
      <w:r w:rsidRPr="0000026A">
        <w:rPr>
          <w:rFonts w:ascii="Arial" w:hAnsi="Arial" w:cs="Arial"/>
          <w:sz w:val="22"/>
          <w:szCs w:val="22"/>
          <w:lang w:val="en-GB"/>
        </w:rPr>
        <w:t xml:space="preserve"> ternary alloy identified by TEM and confirmed by XAS. In order to understand the origin of this segregation, we carried out </w:t>
      </w:r>
      <w:r w:rsidRPr="0000026A">
        <w:rPr>
          <w:rFonts w:ascii="Arial" w:hAnsi="Arial" w:cs="Arial"/>
          <w:i/>
          <w:iCs/>
          <w:sz w:val="22"/>
          <w:szCs w:val="22"/>
          <w:lang w:val="en-GB"/>
        </w:rPr>
        <w:t>in situ</w:t>
      </w:r>
      <w:r w:rsidRPr="0000026A">
        <w:rPr>
          <w:rFonts w:ascii="Arial" w:hAnsi="Arial" w:cs="Arial"/>
          <w:sz w:val="22"/>
          <w:szCs w:val="22"/>
          <w:lang w:val="en-GB"/>
        </w:rPr>
        <w:t xml:space="preserve"> XAS and TEM characterization. </w:t>
      </w:r>
    </w:p>
    <w:p w:rsidR="00970857" w:rsidRPr="0000026A" w:rsidRDefault="00970857" w:rsidP="00970857">
      <w:pPr>
        <w:pStyle w:val="paragraph"/>
        <w:rPr>
          <w:rFonts w:ascii="Arial" w:hAnsi="Arial" w:cs="Arial"/>
          <w:sz w:val="22"/>
          <w:szCs w:val="22"/>
          <w:lang w:val="en-GB"/>
        </w:rPr>
      </w:pPr>
      <w:r w:rsidRPr="0000026A">
        <w:rPr>
          <w:rFonts w:ascii="Arial" w:hAnsi="Arial" w:cs="Arial"/>
          <w:sz w:val="22"/>
          <w:szCs w:val="22"/>
          <w:lang w:val="en-GB"/>
        </w:rPr>
        <w:t xml:space="preserve">For </w:t>
      </w:r>
      <w:r w:rsidRPr="0000026A">
        <w:rPr>
          <w:rFonts w:ascii="Arial" w:hAnsi="Arial" w:cs="Arial"/>
          <w:i/>
          <w:sz w:val="22"/>
          <w:szCs w:val="22"/>
          <w:lang w:val="en-GB"/>
        </w:rPr>
        <w:t>in situ</w:t>
      </w:r>
      <w:r w:rsidRPr="0000026A">
        <w:rPr>
          <w:rFonts w:ascii="Arial" w:hAnsi="Arial" w:cs="Arial"/>
          <w:sz w:val="22"/>
          <w:szCs w:val="22"/>
          <w:lang w:val="en-GB"/>
        </w:rPr>
        <w:t xml:space="preserve"> XAS, we took advantage of the edge jumping capability of the ROCK-SOLEIL Quick-EXAFS beamline, which permits the monitoring of XAS at different chemical element edges during the same reaction, to record sequentially and cyclically time-resolved XAS </w:t>
      </w:r>
      <w:proofErr w:type="spellStart"/>
      <w:r w:rsidRPr="0000026A">
        <w:rPr>
          <w:rFonts w:ascii="Arial" w:hAnsi="Arial" w:cs="Arial"/>
          <w:sz w:val="22"/>
          <w:szCs w:val="22"/>
          <w:lang w:val="en-GB"/>
        </w:rPr>
        <w:t>datesets</w:t>
      </w:r>
      <w:proofErr w:type="spellEnd"/>
      <w:r w:rsidRPr="0000026A">
        <w:rPr>
          <w:rFonts w:ascii="Arial" w:hAnsi="Arial" w:cs="Arial"/>
          <w:sz w:val="22"/>
          <w:szCs w:val="22"/>
          <w:lang w:val="en-GB"/>
        </w:rPr>
        <w:t xml:space="preserve"> over three energy ranges - 3d-XAS for Ni (8.3 keV), 5d-XAS covering L</w:t>
      </w:r>
      <w:r w:rsidRPr="0000026A">
        <w:rPr>
          <w:rFonts w:ascii="Arial" w:hAnsi="Arial" w:cs="Arial"/>
          <w:sz w:val="22"/>
          <w:szCs w:val="22"/>
          <w:vertAlign w:val="subscript"/>
          <w:lang w:val="en-GB"/>
        </w:rPr>
        <w:t>3</w:t>
      </w:r>
      <w:r w:rsidRPr="0000026A">
        <w:rPr>
          <w:rFonts w:ascii="Arial" w:hAnsi="Arial" w:cs="Arial"/>
          <w:sz w:val="22"/>
          <w:szCs w:val="22"/>
          <w:lang w:val="en-GB"/>
        </w:rPr>
        <w:t xml:space="preserve">-edges of </w:t>
      </w:r>
      <w:proofErr w:type="spellStart"/>
      <w:r w:rsidRPr="0000026A">
        <w:rPr>
          <w:rFonts w:ascii="Arial" w:hAnsi="Arial" w:cs="Arial"/>
          <w:sz w:val="22"/>
          <w:szCs w:val="22"/>
          <w:lang w:val="en-GB"/>
        </w:rPr>
        <w:t>Ir</w:t>
      </w:r>
      <w:proofErr w:type="spellEnd"/>
      <w:r w:rsidRPr="0000026A">
        <w:rPr>
          <w:rFonts w:ascii="Arial" w:hAnsi="Arial" w:cs="Arial"/>
          <w:sz w:val="22"/>
          <w:szCs w:val="22"/>
          <w:lang w:val="en-GB"/>
        </w:rPr>
        <w:t xml:space="preserve"> (11.2 keV), Pt (11.6 keV) and 4d-XAS for Ru (22.1 keV), Rh (23.2 keV), Pd (24.4 keV) - along the heating ramp (1°C/min from 25 to 500°C) of the various polymer-metal precursors leading to the HEAs. Multivariate analysis of the </w:t>
      </w:r>
      <w:r w:rsidRPr="0000026A">
        <w:rPr>
          <w:rFonts w:ascii="Arial" w:hAnsi="Arial" w:cs="Arial"/>
          <w:i/>
          <w:sz w:val="22"/>
          <w:szCs w:val="22"/>
          <w:lang w:val="en-GB"/>
        </w:rPr>
        <w:t>in situ</w:t>
      </w:r>
      <w:r w:rsidRPr="0000026A">
        <w:rPr>
          <w:rFonts w:ascii="Arial" w:hAnsi="Arial" w:cs="Arial"/>
          <w:sz w:val="22"/>
          <w:szCs w:val="22"/>
          <w:lang w:val="en-GB"/>
        </w:rPr>
        <w:t xml:space="preserve"> Quick-XAS data for </w:t>
      </w:r>
      <w:proofErr w:type="spellStart"/>
      <w:r w:rsidRPr="0000026A">
        <w:rPr>
          <w:rFonts w:ascii="Arial" w:hAnsi="Arial" w:cs="Arial"/>
          <w:sz w:val="22"/>
          <w:szCs w:val="22"/>
          <w:lang w:val="en-GB"/>
        </w:rPr>
        <w:t>NiRuRhPdIr</w:t>
      </w:r>
      <w:proofErr w:type="spellEnd"/>
      <w:r w:rsidRPr="0000026A">
        <w:rPr>
          <w:rFonts w:ascii="Arial" w:hAnsi="Arial" w:cs="Arial"/>
          <w:sz w:val="22"/>
          <w:szCs w:val="22"/>
          <w:lang w:val="en-GB"/>
        </w:rPr>
        <w:t xml:space="preserve"> (S16) demonstrated that the first nucleation event coincides with the reduction of approximately half of the PdCl</w:t>
      </w:r>
      <w:r w:rsidRPr="0000026A">
        <w:rPr>
          <w:rFonts w:ascii="Arial" w:hAnsi="Arial" w:cs="Arial"/>
          <w:sz w:val="22"/>
          <w:szCs w:val="22"/>
          <w:vertAlign w:val="subscript"/>
          <w:lang w:val="en-GB"/>
        </w:rPr>
        <w:t>2</w:t>
      </w:r>
      <w:r w:rsidRPr="0000026A">
        <w:rPr>
          <w:rFonts w:ascii="Arial" w:hAnsi="Arial" w:cs="Arial"/>
          <w:sz w:val="22"/>
          <w:szCs w:val="22"/>
          <w:lang w:val="en-GB"/>
        </w:rPr>
        <w:t xml:space="preserve"> to metallic Pd, which occurs approximately 100°C earlier than the reduction of the other metallic precursors. The second occurs when the remaining elements reach approximately 50% reduction. </w:t>
      </w:r>
    </w:p>
    <w:p w:rsidR="0000026A" w:rsidRDefault="00970857" w:rsidP="00970857">
      <w:pPr>
        <w:pStyle w:val="paragraph"/>
        <w:rPr>
          <w:rFonts w:ascii="Arial" w:hAnsi="Arial" w:cs="Arial"/>
          <w:sz w:val="22"/>
          <w:szCs w:val="22"/>
          <w:lang w:val="en-GB"/>
        </w:rPr>
      </w:pPr>
      <w:r w:rsidRPr="0000026A">
        <w:rPr>
          <w:rFonts w:ascii="Arial" w:hAnsi="Arial" w:cs="Arial"/>
          <w:i/>
          <w:sz w:val="22"/>
          <w:szCs w:val="22"/>
          <w:lang w:val="en-GB"/>
        </w:rPr>
        <w:t>In situ</w:t>
      </w:r>
      <w:r w:rsidRPr="0000026A">
        <w:rPr>
          <w:rFonts w:ascii="Arial" w:hAnsi="Arial" w:cs="Arial"/>
          <w:sz w:val="22"/>
          <w:szCs w:val="22"/>
          <w:lang w:val="en-GB"/>
        </w:rPr>
        <w:t xml:space="preserve"> TEM monitoring of calcination of </w:t>
      </w:r>
      <w:proofErr w:type="spellStart"/>
      <w:r w:rsidRPr="0000026A">
        <w:rPr>
          <w:rFonts w:ascii="Arial" w:hAnsi="Arial" w:cs="Arial"/>
          <w:sz w:val="22"/>
          <w:szCs w:val="22"/>
          <w:lang w:val="en-GB"/>
        </w:rPr>
        <w:t>NiruRhPdIr</w:t>
      </w:r>
      <w:proofErr w:type="spellEnd"/>
      <w:r w:rsidRPr="0000026A">
        <w:rPr>
          <w:rFonts w:ascii="Arial" w:hAnsi="Arial" w:cs="Arial"/>
          <w:sz w:val="22"/>
          <w:szCs w:val="22"/>
          <w:lang w:val="en-GB"/>
        </w:rPr>
        <w:t xml:space="preserve"> (S16) composition revealed distinct two nanoparticle nucleation events well separated in temperature, whereas </w:t>
      </w:r>
      <w:proofErr w:type="spellStart"/>
      <w:r w:rsidRPr="0000026A">
        <w:rPr>
          <w:rFonts w:ascii="Arial" w:hAnsi="Arial" w:cs="Arial"/>
          <w:sz w:val="22"/>
          <w:szCs w:val="22"/>
          <w:lang w:val="en-GB"/>
        </w:rPr>
        <w:t>NiRuRhIrPt</w:t>
      </w:r>
      <w:proofErr w:type="spellEnd"/>
      <w:r w:rsidRPr="0000026A">
        <w:rPr>
          <w:rFonts w:ascii="Arial" w:hAnsi="Arial" w:cs="Arial"/>
          <w:sz w:val="22"/>
          <w:szCs w:val="22"/>
          <w:lang w:val="en-GB"/>
        </w:rPr>
        <w:t xml:space="preserve"> (S07) forms in a single event occurring in a narrower temperature range. These results indicate that the early reduction of Pd triggers the phase segregation observed in the final material, a phenomenon already observed in similar system [4].</w:t>
      </w:r>
    </w:p>
    <w:p w:rsidR="0000026A" w:rsidRDefault="0000026A" w:rsidP="00970857">
      <w:pPr>
        <w:pStyle w:val="paragraph"/>
        <w:rPr>
          <w:rFonts w:ascii="Arial" w:hAnsi="Arial" w:cs="Arial"/>
          <w:sz w:val="22"/>
          <w:szCs w:val="22"/>
          <w:lang w:val="en-GB"/>
        </w:rPr>
      </w:pPr>
    </w:p>
    <w:p w:rsidR="005166FE" w:rsidRPr="002E40F1" w:rsidRDefault="00970857" w:rsidP="00970857">
      <w:pPr>
        <w:pStyle w:val="paragraph"/>
        <w:rPr>
          <w:rFonts w:ascii="Arial" w:hAnsi="Arial" w:cs="Arial"/>
          <w:sz w:val="22"/>
          <w:szCs w:val="22"/>
          <w:lang w:val="en-GB"/>
        </w:rPr>
      </w:pPr>
      <w:r w:rsidRPr="0000026A">
        <w:rPr>
          <w:rFonts w:ascii="Arial" w:hAnsi="Arial" w:cs="Arial"/>
          <w:sz w:val="22"/>
          <w:szCs w:val="22"/>
          <w:lang w:val="en-GB"/>
        </w:rPr>
        <w:t xml:space="preserve">This correlative study combining </w:t>
      </w:r>
      <w:r w:rsidRPr="0000026A">
        <w:rPr>
          <w:rFonts w:ascii="Arial" w:hAnsi="Arial" w:cs="Arial"/>
          <w:i/>
          <w:sz w:val="22"/>
          <w:szCs w:val="22"/>
          <w:lang w:val="en-GB"/>
        </w:rPr>
        <w:t>in situ</w:t>
      </w:r>
      <w:r w:rsidRPr="0000026A">
        <w:rPr>
          <w:rFonts w:ascii="Arial" w:hAnsi="Arial" w:cs="Arial"/>
          <w:sz w:val="22"/>
          <w:szCs w:val="22"/>
          <w:lang w:val="en-GB"/>
        </w:rPr>
        <w:t xml:space="preserve"> TEM and XAS provides a multiscale understanding of the formation and structural evolution of high-entropy nanoalloys. Our results demonstrate that differences in reduction kinetics of the precursors can strongly influence the final chemical distribution, giving either homogeneous alloys or phase segregation.</w:t>
      </w:r>
      <w:r>
        <w:rPr>
          <w:rFonts w:ascii="Arial" w:hAnsi="Arial" w:cs="Arial"/>
          <w:lang w:val="en-GB"/>
        </w:rPr>
        <w:br/>
      </w:r>
      <w:r w:rsidRPr="00F62F22">
        <w:rPr>
          <w:rFonts w:ascii="Arial" w:hAnsi="Arial" w:cs="Arial"/>
          <w:lang w:val="en-GB"/>
        </w:rPr>
        <w:t xml:space="preserve"> </w:t>
      </w:r>
      <w:r>
        <w:rPr>
          <w:rFonts w:ascii="Arial" w:hAnsi="Arial" w:cs="Arial"/>
          <w:lang w:val="en-GB"/>
        </w:rPr>
        <w:br/>
      </w:r>
    </w:p>
    <w:p w:rsidR="005166FE" w:rsidRPr="00297F1D" w:rsidRDefault="005166FE" w:rsidP="005166FE">
      <w:pPr>
        <w:pStyle w:val="Titre1"/>
        <w:rPr>
          <w:rFonts w:ascii="Arial" w:hAnsi="Arial" w:cs="Arial"/>
          <w:caps w:val="0"/>
          <w:color w:val="0000FF"/>
          <w:sz w:val="22"/>
          <w:szCs w:val="22"/>
          <w:lang w:val="en-GB"/>
        </w:rPr>
      </w:pPr>
      <w:r w:rsidRPr="002E40F1">
        <w:rPr>
          <w:rFonts w:ascii="Arial" w:hAnsi="Arial" w:cs="Arial"/>
          <w:sz w:val="22"/>
          <w:szCs w:val="22"/>
          <w:lang w:val="en-US"/>
        </w:rPr>
        <w:t>References</w:t>
      </w:r>
      <w:r w:rsidR="00297F1D">
        <w:rPr>
          <w:rFonts w:ascii="Arial" w:hAnsi="Arial" w:cs="Arial"/>
          <w:sz w:val="22"/>
          <w:szCs w:val="22"/>
          <w:lang w:val="en-US"/>
        </w:rPr>
        <w:t xml:space="preserve"> </w:t>
      </w:r>
    </w:p>
    <w:p w:rsidR="00970857" w:rsidRPr="00D52F5F" w:rsidRDefault="00970857" w:rsidP="00970857">
      <w:pPr>
        <w:rPr>
          <w:rFonts w:ascii="Arial" w:hAnsi="Arial" w:cs="Arial"/>
          <w:sz w:val="15"/>
          <w:szCs w:val="15"/>
          <w:lang w:val="en-GB"/>
        </w:rPr>
      </w:pPr>
      <w:r>
        <w:rPr>
          <w:rFonts w:ascii="Arial" w:hAnsi="Arial" w:cs="Arial"/>
          <w:sz w:val="15"/>
          <w:szCs w:val="15"/>
          <w:lang w:val="en-GB"/>
        </w:rPr>
        <w:t xml:space="preserve">1. J.-W. Yeh et al, </w:t>
      </w:r>
      <w:r w:rsidRPr="00823A5B">
        <w:rPr>
          <w:rFonts w:ascii="Arial" w:hAnsi="Arial" w:cs="Arial"/>
          <w:i/>
          <w:sz w:val="15"/>
          <w:szCs w:val="15"/>
          <w:lang w:val="en-GB"/>
        </w:rPr>
        <w:t>Nanostructured High-Entropy Alloys with Multiple Principal Elements: Novel Alloy Design Concepts and Outcomes</w:t>
      </w:r>
      <w:r>
        <w:rPr>
          <w:rFonts w:ascii="Arial" w:hAnsi="Arial" w:cs="Arial"/>
          <w:i/>
          <w:sz w:val="15"/>
          <w:szCs w:val="15"/>
          <w:lang w:val="en-GB"/>
        </w:rPr>
        <w:t xml:space="preserve">, </w:t>
      </w:r>
      <w:r>
        <w:rPr>
          <w:rFonts w:ascii="Arial" w:hAnsi="Arial" w:cs="Arial"/>
          <w:sz w:val="15"/>
          <w:szCs w:val="15"/>
          <w:lang w:val="en-GB"/>
        </w:rPr>
        <w:t xml:space="preserve">Advanced Engineering Materials, 6, 5, (2004), 299-303, </w:t>
      </w:r>
      <w:hyperlink r:id="rId4" w:history="1">
        <w:r w:rsidRPr="002C2E2B">
          <w:rPr>
            <w:rStyle w:val="Lienhypertexte"/>
            <w:rFonts w:ascii="Arial" w:hAnsi="Arial" w:cs="Arial"/>
            <w:sz w:val="15"/>
            <w:szCs w:val="15"/>
            <w:lang w:val="en-GB"/>
          </w:rPr>
          <w:t>https://doi.org/10.1002/adem.200300567</w:t>
        </w:r>
      </w:hyperlink>
      <w:r>
        <w:rPr>
          <w:rFonts w:ascii="Arial" w:hAnsi="Arial" w:cs="Arial"/>
          <w:sz w:val="15"/>
          <w:szCs w:val="15"/>
          <w:lang w:val="en-GB"/>
        </w:rPr>
        <w:br/>
        <w:t xml:space="preserve">2. L. Sun et al, </w:t>
      </w:r>
      <w:r>
        <w:rPr>
          <w:rFonts w:ascii="Arial" w:hAnsi="Arial" w:cs="Arial"/>
          <w:i/>
          <w:sz w:val="15"/>
          <w:szCs w:val="15"/>
          <w:lang w:val="en-GB"/>
        </w:rPr>
        <w:t>High-Entropy Alloys in Catalysis: Progress, Challenges, and Prospects</w:t>
      </w:r>
      <w:r>
        <w:rPr>
          <w:rFonts w:ascii="Arial" w:hAnsi="Arial" w:cs="Arial"/>
          <w:sz w:val="15"/>
          <w:szCs w:val="15"/>
          <w:lang w:val="en-GB"/>
        </w:rPr>
        <w:t xml:space="preserve">, ACS Materials Au, 4, 6, (2024), 547-556, </w:t>
      </w:r>
      <w:hyperlink r:id="rId5" w:history="1">
        <w:r w:rsidRPr="002C2E2B">
          <w:rPr>
            <w:rStyle w:val="Lienhypertexte"/>
            <w:rFonts w:ascii="Arial" w:hAnsi="Arial" w:cs="Arial"/>
            <w:sz w:val="15"/>
            <w:szCs w:val="15"/>
            <w:lang w:val="en-GB"/>
          </w:rPr>
          <w:t>https://doi.org/10.1007/978-981-13-8526-1_1</w:t>
        </w:r>
      </w:hyperlink>
      <w:r>
        <w:rPr>
          <w:rStyle w:val="Lienhypertexte"/>
          <w:rFonts w:ascii="Arial" w:hAnsi="Arial" w:cs="Arial"/>
          <w:sz w:val="15"/>
          <w:szCs w:val="15"/>
          <w:lang w:val="en-GB"/>
        </w:rPr>
        <w:br/>
      </w:r>
      <w:r>
        <w:rPr>
          <w:rFonts w:ascii="Arial" w:hAnsi="Arial" w:cs="Arial"/>
          <w:sz w:val="15"/>
          <w:szCs w:val="15"/>
          <w:lang w:val="en-GB"/>
        </w:rPr>
        <w:t xml:space="preserve">3. M.L. De Marco &amp; al, </w:t>
      </w:r>
      <w:r>
        <w:rPr>
          <w:rFonts w:ascii="Arial" w:hAnsi="Arial" w:cs="Arial"/>
          <w:i/>
          <w:sz w:val="15"/>
          <w:szCs w:val="15"/>
          <w:lang w:val="en-GB"/>
        </w:rPr>
        <w:t>High-Entropy-Alloy Nanocrystal Based Macro- and Mesoporous Materials</w:t>
      </w:r>
      <w:r>
        <w:rPr>
          <w:rFonts w:ascii="Arial" w:hAnsi="Arial" w:cs="Arial"/>
          <w:sz w:val="15"/>
          <w:szCs w:val="15"/>
          <w:lang w:val="en-GB"/>
        </w:rPr>
        <w:t xml:space="preserve">, ACS Nano, 16, 10 (2022), 15837-15849, </w:t>
      </w:r>
      <w:hyperlink r:id="rId6" w:history="1">
        <w:r w:rsidRPr="004835DC">
          <w:rPr>
            <w:rStyle w:val="Lienhypertexte"/>
            <w:rFonts w:ascii="Arial" w:hAnsi="Arial" w:cs="Arial"/>
            <w:sz w:val="15"/>
            <w:szCs w:val="15"/>
            <w:lang w:val="en-GB"/>
          </w:rPr>
          <w:t>https://doi.org/10.1021/acsnano.2c05465</w:t>
        </w:r>
      </w:hyperlink>
      <w:r>
        <w:rPr>
          <w:rFonts w:ascii="Arial" w:hAnsi="Arial" w:cs="Arial"/>
          <w:sz w:val="15"/>
          <w:szCs w:val="15"/>
          <w:lang w:val="en-GB"/>
        </w:rPr>
        <w:br/>
        <w:t xml:space="preserve">4. Y.-H. Liu &amp; al, </w:t>
      </w:r>
      <w:r w:rsidRPr="007C49C0">
        <w:rPr>
          <w:rFonts w:ascii="Arial" w:hAnsi="Arial" w:cs="Arial"/>
          <w:i/>
          <w:sz w:val="15"/>
          <w:szCs w:val="15"/>
          <w:lang w:val="en-GB"/>
        </w:rPr>
        <w:t>Toward controllable and predictable synthesis of high entropy alloy nanocrystals</w:t>
      </w:r>
      <w:r>
        <w:rPr>
          <w:rFonts w:ascii="Arial" w:hAnsi="Arial" w:cs="Arial"/>
          <w:sz w:val="15"/>
          <w:szCs w:val="15"/>
          <w:lang w:val="en-GB"/>
        </w:rPr>
        <w:t xml:space="preserve">, Science Advances, 9, 9, (2023), </w:t>
      </w:r>
      <w:hyperlink r:id="rId7" w:history="1">
        <w:r w:rsidRPr="002C2E2B">
          <w:rPr>
            <w:rStyle w:val="Lienhypertexte"/>
            <w:rFonts w:ascii="Arial" w:hAnsi="Arial" w:cs="Arial"/>
            <w:sz w:val="15"/>
            <w:szCs w:val="15"/>
            <w:lang w:val="en-GB"/>
          </w:rPr>
          <w:t>https://doi.org/10.1126/sciadv.adf9931</w:t>
        </w:r>
      </w:hyperlink>
    </w:p>
    <w:p w:rsidR="005166FE" w:rsidRPr="002E40F1" w:rsidRDefault="005166FE">
      <w:pPr>
        <w:rPr>
          <w:rFonts w:ascii="Arial" w:hAnsi="Arial" w:cs="Arial"/>
          <w:lang w:val="en-GB"/>
        </w:rPr>
      </w:pPr>
    </w:p>
    <w:sectPr w:rsidR="005166FE" w:rsidRPr="002E40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6FE"/>
    <w:rsid w:val="0000026A"/>
    <w:rsid w:val="00041ED8"/>
    <w:rsid w:val="00297F1D"/>
    <w:rsid w:val="002E40F1"/>
    <w:rsid w:val="003C4788"/>
    <w:rsid w:val="005166FE"/>
    <w:rsid w:val="005B049F"/>
    <w:rsid w:val="0063764B"/>
    <w:rsid w:val="006477D0"/>
    <w:rsid w:val="007D4062"/>
    <w:rsid w:val="007E7378"/>
    <w:rsid w:val="008D4E08"/>
    <w:rsid w:val="0091292E"/>
    <w:rsid w:val="00936F85"/>
    <w:rsid w:val="00970857"/>
    <w:rsid w:val="00AB1846"/>
    <w:rsid w:val="00B06DCF"/>
    <w:rsid w:val="00CF36A0"/>
    <w:rsid w:val="00DF3681"/>
    <w:rsid w:val="00E30A4A"/>
    <w:rsid w:val="00FE0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F51782"/>
  <w15:chartTrackingRefBased/>
  <w15:docId w15:val="{3D3F9E7F-7217-468F-BD91-F8A20A3CA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fr-FR" w:eastAsia="fr-FR"/>
    </w:rPr>
  </w:style>
  <w:style w:type="paragraph" w:styleId="Titre1">
    <w:name w:val="heading 1"/>
    <w:basedOn w:val="Normal"/>
    <w:qFormat/>
    <w:rsid w:val="005166FE"/>
    <w:pPr>
      <w:keepNext/>
      <w:spacing w:before="240" w:after="240"/>
      <w:jc w:val="center"/>
      <w:outlineLvl w:val="0"/>
    </w:pPr>
    <w:rPr>
      <w:b/>
      <w:bCs/>
      <w:caps/>
      <w:kern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pertitle">
    <w:name w:val="papertitle"/>
    <w:basedOn w:val="Normal"/>
    <w:rsid w:val="005166FE"/>
    <w:pPr>
      <w:spacing w:before="960"/>
      <w:jc w:val="center"/>
    </w:pPr>
    <w:rPr>
      <w:b/>
      <w:bCs/>
      <w:sz w:val="36"/>
      <w:szCs w:val="36"/>
    </w:rPr>
  </w:style>
  <w:style w:type="paragraph" w:customStyle="1" w:styleId="paperauthor">
    <w:name w:val="paperauthor"/>
    <w:basedOn w:val="Normal"/>
    <w:rsid w:val="005166FE"/>
    <w:pPr>
      <w:spacing w:before="360" w:after="360"/>
      <w:jc w:val="center"/>
    </w:pPr>
    <w:rPr>
      <w:sz w:val="28"/>
      <w:szCs w:val="28"/>
    </w:rPr>
  </w:style>
  <w:style w:type="paragraph" w:customStyle="1" w:styleId="authoraffiliation">
    <w:name w:val="authoraffiliation"/>
    <w:basedOn w:val="Normal"/>
    <w:rsid w:val="005166FE"/>
    <w:pPr>
      <w:jc w:val="center"/>
    </w:pPr>
    <w:rPr>
      <w:i/>
      <w:iCs/>
      <w:sz w:val="20"/>
      <w:szCs w:val="20"/>
    </w:rPr>
  </w:style>
  <w:style w:type="paragraph" w:customStyle="1" w:styleId="paragraph">
    <w:name w:val="paragraph"/>
    <w:basedOn w:val="Normal"/>
    <w:rsid w:val="005166FE"/>
    <w:pPr>
      <w:ind w:firstLine="274"/>
      <w:jc w:val="both"/>
    </w:pPr>
    <w:rPr>
      <w:sz w:val="20"/>
      <w:szCs w:val="20"/>
    </w:rPr>
  </w:style>
  <w:style w:type="paragraph" w:customStyle="1" w:styleId="reference">
    <w:name w:val="reference"/>
    <w:basedOn w:val="Normal"/>
    <w:rsid w:val="005166FE"/>
    <w:pPr>
      <w:ind w:left="274" w:hanging="274"/>
      <w:jc w:val="both"/>
    </w:pPr>
    <w:rPr>
      <w:sz w:val="18"/>
      <w:szCs w:val="18"/>
    </w:rPr>
  </w:style>
  <w:style w:type="paragraph" w:customStyle="1" w:styleId="equation">
    <w:name w:val="equation"/>
    <w:basedOn w:val="Normal"/>
    <w:rsid w:val="005166FE"/>
    <w:pPr>
      <w:jc w:val="both"/>
    </w:pPr>
    <w:rPr>
      <w:sz w:val="20"/>
      <w:szCs w:val="20"/>
    </w:rPr>
  </w:style>
  <w:style w:type="character" w:styleId="Lienhypertexte">
    <w:name w:val="Hyperlink"/>
    <w:uiPriority w:val="99"/>
    <w:unhideWhenUsed/>
    <w:rsid w:val="00970857"/>
    <w:rPr>
      <w:color w:val="0563C1"/>
      <w:u w:val="single"/>
    </w:rPr>
  </w:style>
  <w:style w:type="paragraph" w:styleId="Textedebulles">
    <w:name w:val="Balloon Text"/>
    <w:basedOn w:val="Normal"/>
    <w:link w:val="TextedebullesCar"/>
    <w:rsid w:val="00970857"/>
    <w:rPr>
      <w:rFonts w:ascii="Segoe UI" w:hAnsi="Segoe UI" w:cs="Segoe UI"/>
      <w:sz w:val="18"/>
      <w:szCs w:val="18"/>
    </w:rPr>
  </w:style>
  <w:style w:type="character" w:customStyle="1" w:styleId="TextedebullesCar">
    <w:name w:val="Texte de bulles Car"/>
    <w:basedOn w:val="Policepardfaut"/>
    <w:link w:val="Textedebulles"/>
    <w:rsid w:val="00970857"/>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11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26/sciadv.adf993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21/acsnano.2c05465" TargetMode="External"/><Relationship Id="rId5" Type="http://schemas.openxmlformats.org/officeDocument/2006/relationships/hyperlink" Target="https://doi.org/10.1007/978-981-13-8526-1_1" TargetMode="External"/><Relationship Id="rId4" Type="http://schemas.openxmlformats.org/officeDocument/2006/relationships/hyperlink" Target="https://doi.org/10.1002/adem.200300567" TargetMode="Externa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FRAISS~1\LOCALS~1\Temp\TEMPLATE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TEMPLATE3</Template>
  <TotalTime>2</TotalTime>
  <Pages>2</Pages>
  <Words>724</Words>
  <Characters>3987</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The Title Goes Here With Each Initial Letter Capitalized</vt:lpstr>
    </vt:vector>
  </TitlesOfParts>
  <Company>Synchrotron SOLEIL</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Title Goes Here With Each Initial Letter Capitalized</dc:title>
  <dc:subject/>
  <dc:creator>fraissard</dc:creator>
  <cp:keywords/>
  <dc:description/>
  <cp:lastModifiedBy>mirgot</cp:lastModifiedBy>
  <cp:revision>5</cp:revision>
  <cp:lastPrinted>1899-12-31T23:00:00Z</cp:lastPrinted>
  <dcterms:created xsi:type="dcterms:W3CDTF">2026-07-07T13:33:00Z</dcterms:created>
  <dcterms:modified xsi:type="dcterms:W3CDTF">2026-07-07T13:36:00Z</dcterms:modified>
</cp:coreProperties>
</file>