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7966" w14:textId="7FE5368C" w:rsidR="00CF5217" w:rsidRDefault="00CF5217" w:rsidP="005166FE">
      <w:pPr>
        <w:pStyle w:val="paperauthor"/>
        <w:rPr>
          <w:rFonts w:ascii="Arial" w:hAnsi="Arial" w:cs="Arial"/>
          <w:b/>
          <w:bCs/>
          <w:sz w:val="36"/>
          <w:szCs w:val="36"/>
          <w:lang w:val="en-US"/>
        </w:rPr>
      </w:pPr>
      <w:r w:rsidRPr="00CF5217">
        <w:rPr>
          <w:rFonts w:ascii="Arial" w:hAnsi="Arial" w:cs="Arial"/>
          <w:b/>
          <w:bCs/>
          <w:sz w:val="36"/>
          <w:szCs w:val="36"/>
          <w:lang w:val="en-US"/>
        </w:rPr>
        <w:t>From Monometallic to Bimetallic NiCo/SiO</w:t>
      </w:r>
      <w:r w:rsidRPr="00CF5217">
        <w:rPr>
          <w:rFonts w:ascii="Cambria Math" w:hAnsi="Cambria Math" w:cs="Cambria Math"/>
          <w:b/>
          <w:bCs/>
          <w:sz w:val="36"/>
          <w:szCs w:val="36"/>
          <w:lang w:val="en-US"/>
        </w:rPr>
        <w:t>₂</w:t>
      </w:r>
      <w:r w:rsidRPr="00CF5217">
        <w:rPr>
          <w:rFonts w:ascii="Arial" w:hAnsi="Arial" w:cs="Arial"/>
          <w:b/>
          <w:bCs/>
          <w:sz w:val="36"/>
          <w:szCs w:val="36"/>
          <w:lang w:val="en-US"/>
        </w:rPr>
        <w:t>: Element-Resolved Active-Site Identification by Operando XAS and MCR-ALS</w:t>
      </w:r>
    </w:p>
    <w:p w14:paraId="414FF4C7" w14:textId="4513C085" w:rsidR="005166FE" w:rsidRPr="007E7378" w:rsidRDefault="007E3AEF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 w:hint="eastAsia"/>
          <w:lang w:val="en-US" w:eastAsia="zh-CN"/>
        </w:rPr>
        <w:t xml:space="preserve">Shuchi Zhang, </w:t>
      </w:r>
      <w:r w:rsidRPr="007E3AEF">
        <w:rPr>
          <w:rFonts w:ascii="Arial" w:hAnsi="Arial" w:cs="Arial" w:hint="eastAsia"/>
          <w:lang w:val="en-US" w:eastAsia="zh-CN"/>
        </w:rPr>
        <w:t>Nikolay Kosinov</w:t>
      </w:r>
      <w:r>
        <w:rPr>
          <w:rFonts w:ascii="Arial" w:hAnsi="Arial" w:cs="Arial" w:hint="eastAsia"/>
          <w:lang w:val="en-US" w:eastAsia="zh-CN"/>
        </w:rPr>
        <w:t>*</w:t>
      </w:r>
      <w:r w:rsidR="006477D0">
        <w:rPr>
          <w:rFonts w:ascii="Arial" w:hAnsi="Arial" w:cs="Arial"/>
          <w:lang w:val="en-US"/>
        </w:rPr>
        <w:t xml:space="preserve"> </w:t>
      </w:r>
    </w:p>
    <w:p w14:paraId="2BFA8AF3" w14:textId="77777777" w:rsidR="007E3AEF" w:rsidRPr="007E3AEF" w:rsidRDefault="007E3AEF" w:rsidP="007E3AEF">
      <w:pPr>
        <w:pStyle w:val="authoraffiliation"/>
        <w:rPr>
          <w:rFonts w:ascii="Arial" w:hAnsi="Arial" w:cs="Arial"/>
          <w:lang w:val="en-US"/>
        </w:rPr>
      </w:pPr>
      <w:r w:rsidRPr="007E3AEF">
        <w:rPr>
          <w:rFonts w:ascii="Arial" w:hAnsi="Arial" w:cs="Arial"/>
          <w:lang w:val="en-US"/>
        </w:rPr>
        <w:t>Department of Chemical Engineering and Chemistry, Eindhoven University of Technology, The Netherlands</w:t>
      </w:r>
    </w:p>
    <w:p w14:paraId="28D7279B" w14:textId="1F627FD2" w:rsidR="005166FE" w:rsidRPr="007E3AEF" w:rsidRDefault="007E3AEF" w:rsidP="007E3AEF">
      <w:pPr>
        <w:pStyle w:val="authoraffiliation"/>
        <w:rPr>
          <w:rFonts w:ascii="Arial" w:hAnsi="Arial" w:cs="Arial"/>
          <w:lang w:val="en-US" w:eastAsia="zh-CN"/>
        </w:rPr>
      </w:pPr>
      <w:r w:rsidRPr="00CF5217">
        <w:rPr>
          <w:rFonts w:ascii="Arial" w:hAnsi="Arial" w:cs="Arial"/>
          <w:lang w:val="en-US" w:eastAsia="zh-CN"/>
        </w:rPr>
        <w:t>s.zhang7</w:t>
      </w:r>
      <w:r w:rsidRPr="00CF5217">
        <w:rPr>
          <w:rFonts w:ascii="Arial" w:hAnsi="Arial" w:cs="Arial"/>
          <w:lang w:val="en-US"/>
        </w:rPr>
        <w:t>@tue.nl</w:t>
      </w:r>
      <w:r>
        <w:rPr>
          <w:rFonts w:ascii="Arial" w:hAnsi="Arial" w:cs="Arial" w:hint="eastAsia"/>
          <w:lang w:val="en-US" w:eastAsia="zh-CN"/>
        </w:rPr>
        <w:t xml:space="preserve">; </w:t>
      </w:r>
      <w:r w:rsidRPr="007E3AEF">
        <w:rPr>
          <w:rFonts w:ascii="Arial" w:hAnsi="Arial" w:cs="Arial"/>
          <w:lang w:val="en-US" w:eastAsia="zh-CN"/>
        </w:rPr>
        <w:t>n.a.kosinov@tue.nl</w:t>
      </w:r>
    </w:p>
    <w:p w14:paraId="6117230C" w14:textId="4E2001F7" w:rsidR="005166FE" w:rsidRPr="002E40F1" w:rsidRDefault="005166FE" w:rsidP="005166FE">
      <w:pPr>
        <w:pStyle w:val="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0CE912B7" w14:textId="71E07ED3" w:rsidR="005166FE" w:rsidRPr="002E40F1" w:rsidRDefault="00726957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726957">
        <w:rPr>
          <w:rFonts w:ascii="Arial" w:hAnsi="Arial" w:cs="Arial"/>
          <w:sz w:val="22"/>
          <w:szCs w:val="22"/>
          <w:lang w:val="en-US"/>
        </w:rPr>
        <w:t xml:space="preserve">Operando X-ray absorption spectroscopy (XAS) is a powerful technique </w:t>
      </w:r>
      <w:r w:rsidR="00807D07" w:rsidRPr="00807D07">
        <w:rPr>
          <w:rFonts w:ascii="Arial" w:hAnsi="Arial" w:cs="Arial"/>
          <w:sz w:val="22"/>
          <w:szCs w:val="22"/>
        </w:rPr>
        <w:t>for probing the electronic and local structural evolution of catalysts under working conditions</w:t>
      </w:r>
      <w:r w:rsidRPr="00726957">
        <w:rPr>
          <w:rFonts w:ascii="Arial" w:hAnsi="Arial" w:cs="Arial"/>
          <w:sz w:val="22"/>
          <w:szCs w:val="22"/>
          <w:lang w:val="en-US"/>
        </w:rPr>
        <w:t>. However, the obtained spectra often contain mixed structural information under reaction conditions. Multivariate Curve Resolution–Alternating Least Squares (MCR-ALS) is an effective method for analyzing linearly mixed datasets and can decompose them into independent components, which can help a lot in XAS data analysis</w:t>
      </w:r>
      <w:r w:rsidR="00137955" w:rsidRPr="00624101">
        <w:rPr>
          <w:rFonts w:ascii="Arial" w:hAnsi="Arial" w:cs="Arial" w:hint="eastAsia"/>
          <w:sz w:val="22"/>
          <w:szCs w:val="22"/>
          <w:vertAlign w:val="superscript"/>
          <w:lang w:val="en-US" w:eastAsia="zh-CN"/>
        </w:rPr>
        <w:t>1</w:t>
      </w:r>
      <w:r w:rsidRPr="00726957">
        <w:rPr>
          <w:rFonts w:ascii="Arial" w:hAnsi="Arial" w:cs="Arial"/>
          <w:sz w:val="22"/>
          <w:szCs w:val="22"/>
          <w:lang w:val="en-US"/>
        </w:rPr>
        <w:t>.</w:t>
      </w:r>
    </w:p>
    <w:p w14:paraId="5B8BEBCD" w14:textId="75470E82" w:rsidR="00185DAC" w:rsidRPr="00FE0626" w:rsidRDefault="00FE0626" w:rsidP="00FE0626">
      <w:pPr>
        <w:pStyle w:val="paragraph"/>
        <w:rPr>
          <w:noProof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2DA5AB" wp14:editId="6F9EE711">
            <wp:simplePos x="0" y="0"/>
            <wp:positionH relativeFrom="column">
              <wp:posOffset>-45085</wp:posOffset>
            </wp:positionH>
            <wp:positionV relativeFrom="paragraph">
              <wp:posOffset>2294890</wp:posOffset>
            </wp:positionV>
            <wp:extent cx="5760720" cy="1673860"/>
            <wp:effectExtent l="0" t="0" r="0" b="2540"/>
            <wp:wrapTopAndBottom/>
            <wp:docPr id="1418430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3062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6FE" w:rsidRPr="002E40F1">
        <w:rPr>
          <w:rFonts w:ascii="Arial" w:hAnsi="Arial" w:cs="Arial"/>
          <w:sz w:val="22"/>
          <w:szCs w:val="22"/>
          <w:lang w:val="en-US"/>
        </w:rPr>
        <w:t> </w:t>
      </w:r>
      <w:r w:rsidR="007E3AEF" w:rsidRPr="007E3AEF">
        <w:rPr>
          <w:rFonts w:ascii="Arial" w:hAnsi="Arial" w:cs="Arial"/>
          <w:sz w:val="22"/>
          <w:szCs w:val="22"/>
          <w:lang w:val="en-US" w:eastAsia="zh-CN"/>
        </w:rPr>
        <w:t>Our previous work on Ni/SiO</w:t>
      </w:r>
      <w:r w:rsidR="007E3AEF" w:rsidRPr="007E3AEF">
        <w:rPr>
          <w:rFonts w:ascii="Cambria Math" w:hAnsi="Cambria Math" w:cs="Cambria Math"/>
          <w:sz w:val="22"/>
          <w:szCs w:val="22"/>
          <w:lang w:val="en-US" w:eastAsia="zh-CN"/>
        </w:rPr>
        <w:t>₂</w:t>
      </w:r>
      <w:r w:rsidR="007E3AEF" w:rsidRPr="007E3AEF">
        <w:rPr>
          <w:rFonts w:ascii="Arial" w:hAnsi="Arial" w:cs="Arial"/>
          <w:sz w:val="22"/>
          <w:szCs w:val="22"/>
          <w:lang w:val="en-US" w:eastAsia="zh-CN"/>
        </w:rPr>
        <w:t>-catalyzed CO</w:t>
      </w:r>
      <w:r w:rsidR="007E3AEF" w:rsidRPr="007E3AEF">
        <w:rPr>
          <w:rFonts w:ascii="Cambria Math" w:hAnsi="Cambria Math" w:cs="Cambria Math"/>
          <w:sz w:val="22"/>
          <w:szCs w:val="22"/>
          <w:lang w:val="en-US" w:eastAsia="zh-CN"/>
        </w:rPr>
        <w:t>₂</w:t>
      </w:r>
      <w:r w:rsidR="007E3AEF" w:rsidRPr="007E3AEF">
        <w:rPr>
          <w:rFonts w:ascii="Arial" w:hAnsi="Arial" w:cs="Arial"/>
          <w:sz w:val="22"/>
          <w:szCs w:val="22"/>
          <w:lang w:val="en-US" w:eastAsia="zh-CN"/>
        </w:rPr>
        <w:t xml:space="preserve"> methanation revealed CO* as the dominant surface species, while operando XAS gas-switching experiments showed a corresponding change in the Ni spectral features</w:t>
      </w:r>
      <w:r w:rsidR="007E3AEF" w:rsidRPr="007E3AEF">
        <w:rPr>
          <w:rFonts w:ascii="Arial" w:hAnsi="Arial" w:cs="Arial" w:hint="eastAsia"/>
          <w:sz w:val="22"/>
          <w:szCs w:val="22"/>
          <w:vertAlign w:val="superscript"/>
          <w:lang w:val="en-US" w:eastAsia="zh-CN"/>
        </w:rPr>
        <w:t>2</w:t>
      </w:r>
      <w:r w:rsidR="007E3AEF" w:rsidRPr="007E3AEF">
        <w:rPr>
          <w:rFonts w:ascii="Arial" w:hAnsi="Arial" w:cs="Arial"/>
          <w:sz w:val="22"/>
          <w:szCs w:val="22"/>
          <w:lang w:val="en-US" w:eastAsia="zh-CN"/>
        </w:rPr>
        <w:t>.</w:t>
      </w:r>
      <w:r w:rsidR="007E3AEF"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 xml:space="preserve">Recently, </w:t>
      </w:r>
      <w:r w:rsidR="003E1DFC" w:rsidRPr="003E1DFC">
        <w:rPr>
          <w:rFonts w:ascii="Arial" w:hAnsi="Arial" w:cs="Arial"/>
          <w:sz w:val="22"/>
          <w:szCs w:val="22"/>
          <w:lang w:val="en-US"/>
        </w:rPr>
        <w:t>at ROCK beamline (SOLEIL), we performed meticulous transient gas switching experiments (H2↔CO2+H2) followed by XAS over Me/SiO2 (Me= Ni or Co) and NiCo/SiO2.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 xml:space="preserve"> W</w:t>
      </w:r>
      <w:r w:rsidR="00726957" w:rsidRPr="00726957">
        <w:rPr>
          <w:rFonts w:ascii="Arial" w:hAnsi="Arial" w:cs="Arial"/>
          <w:sz w:val="22"/>
          <w:szCs w:val="22"/>
          <w:lang w:val="en-US"/>
        </w:rPr>
        <w:t>e applied MCR-ALS analysis to operando XAS datasets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 xml:space="preserve"> to further identify the intermediates dynamic changes on the surface</w:t>
      </w:r>
      <w:r w:rsidR="00726957" w:rsidRPr="00726957">
        <w:rPr>
          <w:rFonts w:ascii="Arial" w:hAnsi="Arial" w:cs="Arial"/>
          <w:sz w:val="22"/>
          <w:szCs w:val="22"/>
          <w:lang w:val="en-US"/>
        </w:rPr>
        <w:t>.</w:t>
      </w:r>
      <w:r w:rsidR="0079444C">
        <w:rPr>
          <w:rFonts w:ascii="Arial" w:hAnsi="Arial" w:cs="Arial" w:hint="eastAsia"/>
          <w:sz w:val="22"/>
          <w:szCs w:val="22"/>
          <w:lang w:val="en-US" w:eastAsia="zh-CN"/>
        </w:rPr>
        <w:t xml:space="preserve"> We confirmed the intermediates mainly 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composed by CO* by FTIR (Figure.1a). CO*</w:t>
      </w:r>
      <w:r w:rsidR="0079444C">
        <w:rPr>
          <w:rFonts w:ascii="Arial" w:hAnsi="Arial" w:cs="Arial" w:hint="eastAsia"/>
          <w:sz w:val="22"/>
          <w:szCs w:val="22"/>
          <w:lang w:val="en-US" w:eastAsia="zh-CN"/>
        </w:rPr>
        <w:t xml:space="preserve"> coverage was calculated using chemisorption and Steady-state isotopic transient analysis (SSITKA)</w:t>
      </w:r>
      <w:r w:rsidR="008E1D7E">
        <w:rPr>
          <w:rFonts w:ascii="Arial" w:hAnsi="Arial" w:cs="Arial" w:hint="eastAsia"/>
          <w:sz w:val="22"/>
          <w:szCs w:val="22"/>
          <w:lang w:val="en-US" w:eastAsia="zh-CN"/>
        </w:rPr>
        <w:t xml:space="preserve"> (Figure.1b)</w:t>
      </w:r>
      <w:r w:rsidR="0079444C">
        <w:rPr>
          <w:rFonts w:ascii="Arial" w:hAnsi="Arial" w:cs="Arial" w:hint="eastAsia"/>
          <w:sz w:val="22"/>
          <w:szCs w:val="22"/>
          <w:lang w:val="en-US" w:eastAsia="zh-CN"/>
        </w:rPr>
        <w:t>, also performs as the reference value of MCR-ALS analysis, which gives us the XAS spectra of both metal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 xml:space="preserve"> (S1)</w:t>
      </w:r>
      <w:r w:rsidR="0079444C">
        <w:rPr>
          <w:rFonts w:ascii="Arial" w:hAnsi="Arial" w:cs="Arial" w:hint="eastAsia"/>
          <w:sz w:val="22"/>
          <w:szCs w:val="22"/>
          <w:lang w:val="en-US" w:eastAsia="zh-CN"/>
        </w:rPr>
        <w:t xml:space="preserve"> and 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CO</w:t>
      </w:r>
      <w:r w:rsidR="0079444C">
        <w:rPr>
          <w:rFonts w:ascii="Arial" w:hAnsi="Arial" w:cs="Arial" w:hint="eastAsia"/>
          <w:sz w:val="22"/>
          <w:szCs w:val="22"/>
          <w:lang w:val="en-US" w:eastAsia="zh-CN"/>
        </w:rPr>
        <w:t>-adsorbed metal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 xml:space="preserve"> (S2) (Figure.1</w:t>
      </w:r>
      <w:r w:rsidR="008E1D7E">
        <w:rPr>
          <w:rFonts w:ascii="Arial" w:hAnsi="Arial" w:cs="Arial" w:hint="eastAsia"/>
          <w:sz w:val="22"/>
          <w:szCs w:val="22"/>
          <w:lang w:val="en-US" w:eastAsia="zh-CN"/>
        </w:rPr>
        <w:t>c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)</w:t>
      </w:r>
      <w:r w:rsidR="0079444C">
        <w:rPr>
          <w:rFonts w:ascii="Arial" w:hAnsi="Arial" w:cs="Arial" w:hint="eastAsia"/>
          <w:sz w:val="22"/>
          <w:szCs w:val="22"/>
          <w:lang w:val="en-US" w:eastAsia="zh-CN"/>
        </w:rPr>
        <w:t>.</w:t>
      </w:r>
      <w:r w:rsidR="003E1DFC" w:rsidRPr="003E1DFC">
        <w:t xml:space="preserve"> 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>Substituting these two standard spectra as reference components for the NiCo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/SiO2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 xml:space="preserve"> sample in MCR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-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 xml:space="preserve">ALS, we obtained the 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CO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 xml:space="preserve"> coverage on the Ni and Co, respectively, as </w:t>
      </w:r>
      <w:r w:rsidR="00F92346">
        <w:rPr>
          <w:rFonts w:ascii="Arial" w:hAnsi="Arial" w:cs="Arial" w:hint="eastAsia"/>
          <w:sz w:val="22"/>
          <w:szCs w:val="22"/>
          <w:lang w:val="en-US" w:eastAsia="zh-CN"/>
        </w:rPr>
        <w:t>6.7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%</w:t>
      </w:r>
      <w:r w:rsidR="00F92346">
        <w:rPr>
          <w:rFonts w:ascii="Arial" w:hAnsi="Arial" w:cs="Arial" w:hint="eastAsia"/>
          <w:sz w:val="22"/>
          <w:szCs w:val="22"/>
          <w:lang w:val="en-US" w:eastAsia="zh-CN"/>
        </w:rPr>
        <w:t xml:space="preserve"> (Ni bases)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 xml:space="preserve"> and </w:t>
      </w:r>
      <w:r w:rsidR="00F92346">
        <w:rPr>
          <w:rFonts w:ascii="Arial" w:hAnsi="Arial" w:cs="Arial" w:hint="eastAsia"/>
          <w:sz w:val="22"/>
          <w:szCs w:val="22"/>
          <w:lang w:val="en-US" w:eastAsia="zh-CN"/>
        </w:rPr>
        <w:t>2.0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>%</w:t>
      </w:r>
      <w:r w:rsidR="00F92346">
        <w:rPr>
          <w:rFonts w:ascii="Arial" w:hAnsi="Arial" w:cs="Arial" w:hint="eastAsia"/>
          <w:sz w:val="22"/>
          <w:szCs w:val="22"/>
          <w:lang w:val="en-US" w:eastAsia="zh-CN"/>
        </w:rPr>
        <w:t xml:space="preserve"> (Co bases)</w:t>
      </w:r>
      <w:r w:rsidR="003E1DFC">
        <w:rPr>
          <w:rFonts w:ascii="Arial" w:hAnsi="Arial" w:cs="Arial" w:hint="eastAsia"/>
          <w:sz w:val="22"/>
          <w:szCs w:val="22"/>
          <w:lang w:val="en-US" w:eastAsia="zh-CN"/>
        </w:rPr>
        <w:t xml:space="preserve">, which highly indicated the activity of both </w:t>
      </w:r>
      <w:r w:rsidR="003E1DFC">
        <w:rPr>
          <w:rFonts w:ascii="Arial" w:hAnsi="Arial" w:cs="Arial"/>
          <w:sz w:val="22"/>
          <w:szCs w:val="22"/>
          <w:lang w:val="en-US" w:eastAsia="zh-CN"/>
        </w:rPr>
        <w:t>metals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 xml:space="preserve">. This provides an effective element-resolved method for identifying active sites </w:t>
      </w:r>
      <w:r w:rsidR="003147CF">
        <w:rPr>
          <w:rFonts w:ascii="Arial" w:hAnsi="Arial" w:cs="Arial" w:hint="eastAsia"/>
          <w:sz w:val="22"/>
          <w:szCs w:val="22"/>
          <w:lang w:val="en-US" w:eastAsia="zh-CN"/>
        </w:rPr>
        <w:t>and their activities on</w:t>
      </w:r>
      <w:r w:rsidR="003E1DFC" w:rsidRPr="003E1DFC">
        <w:rPr>
          <w:rFonts w:ascii="Arial" w:hAnsi="Arial" w:cs="Arial"/>
          <w:sz w:val="22"/>
          <w:szCs w:val="22"/>
          <w:lang w:val="en-US" w:eastAsia="zh-CN"/>
        </w:rPr>
        <w:t xml:space="preserve"> alloy catalysts.</w:t>
      </w:r>
      <w:r w:rsidRPr="00FE0626">
        <w:rPr>
          <w:noProof/>
        </w:rPr>
        <w:t xml:space="preserve"> </w:t>
      </w:r>
    </w:p>
    <w:p w14:paraId="14B9E162" w14:textId="30741037" w:rsidR="005166FE" w:rsidRPr="002E40F1" w:rsidRDefault="00C672A8" w:rsidP="009752A0">
      <w:pPr>
        <w:pStyle w:val="paragraph"/>
        <w:spacing w:beforeLines="50" w:before="120"/>
        <w:ind w:firstLine="272"/>
        <w:jc w:val="center"/>
        <w:rPr>
          <w:rFonts w:ascii="Arial" w:hAnsi="Arial" w:cs="Arial"/>
          <w:sz w:val="22"/>
          <w:szCs w:val="22"/>
          <w:lang w:val="en-GB" w:eastAsia="zh-CN"/>
        </w:rPr>
      </w:pPr>
      <w:r w:rsidRPr="00185DAC">
        <w:rPr>
          <w:rFonts w:ascii="Arial" w:hAnsi="Arial" w:cs="Arial" w:hint="eastAsia"/>
          <w:sz w:val="18"/>
          <w:szCs w:val="18"/>
          <w:lang w:val="en-US" w:eastAsia="zh-CN"/>
        </w:rPr>
        <w:t>Figure1. (a) FTIR spectra of Ni/SiO</w:t>
      </w:r>
      <w:r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during CO</w:t>
      </w:r>
      <w:r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hydrogenation at 220</w:t>
      </w:r>
      <w:r w:rsid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</w:t>
      </w:r>
      <w:r w:rsidR="00185DAC" w:rsidRPr="00185DAC">
        <w:rPr>
          <w:rFonts w:ascii="Arial" w:hAnsi="Arial" w:cs="Arial" w:hint="eastAsia"/>
          <w:sz w:val="18"/>
          <w:szCs w:val="18"/>
          <w:vertAlign w:val="superscript"/>
          <w:lang w:val="en-US" w:eastAsia="zh-CN"/>
        </w:rPr>
        <w:t>o</w:t>
      </w:r>
      <w:r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C. (b) 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SSITKA results during </w:t>
      </w:r>
      <w:r w:rsidR="003D0D66" w:rsidRPr="00185DAC">
        <w:rPr>
          <w:rFonts w:ascii="Arial" w:hAnsi="Arial" w:cs="Arial" w:hint="eastAsia"/>
          <w:sz w:val="18"/>
          <w:szCs w:val="18"/>
          <w:vertAlign w:val="superscript"/>
          <w:lang w:val="en-US" w:eastAsia="zh-CN"/>
        </w:rPr>
        <w:t>12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>CO</w:t>
      </w:r>
      <w:r w:rsidR="003D0D66"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>+H</w:t>
      </w:r>
      <w:r w:rsidR="003D0D66"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switch to </w:t>
      </w:r>
      <w:r w:rsidR="003D0D66" w:rsidRPr="00185DAC">
        <w:rPr>
          <w:rFonts w:ascii="Arial" w:hAnsi="Arial" w:cs="Arial" w:hint="eastAsia"/>
          <w:sz w:val="18"/>
          <w:szCs w:val="18"/>
          <w:vertAlign w:val="superscript"/>
          <w:lang w:val="en-US" w:eastAsia="zh-CN"/>
        </w:rPr>
        <w:t>13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>CO</w:t>
      </w:r>
      <w:r w:rsidR="003D0D66"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>+H</w:t>
      </w:r>
      <w:r w:rsidR="003D0D66"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during steady state CO</w:t>
      </w:r>
      <w:r w:rsidR="003D0D66" w:rsidRPr="00185DAC">
        <w:rPr>
          <w:rFonts w:ascii="Arial" w:hAnsi="Arial" w:cs="Arial" w:hint="eastAsia"/>
          <w:sz w:val="18"/>
          <w:szCs w:val="18"/>
          <w:vertAlign w:val="subscript"/>
          <w:lang w:val="en-US" w:eastAsia="zh-CN"/>
        </w:rPr>
        <w:t>2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hydrogenation at 220</w:t>
      </w:r>
      <w:r w:rsidR="00185DAC">
        <w:rPr>
          <w:rFonts w:ascii="Arial" w:hAnsi="Arial" w:cs="Arial" w:hint="eastAsia"/>
          <w:sz w:val="18"/>
          <w:szCs w:val="18"/>
          <w:lang w:val="en-US" w:eastAsia="zh-CN"/>
        </w:rPr>
        <w:t xml:space="preserve"> </w:t>
      </w:r>
      <w:r w:rsidR="00185DAC" w:rsidRPr="00185DAC">
        <w:rPr>
          <w:rFonts w:ascii="Arial" w:hAnsi="Arial" w:cs="Arial" w:hint="eastAsia"/>
          <w:sz w:val="18"/>
          <w:szCs w:val="18"/>
          <w:vertAlign w:val="superscript"/>
          <w:lang w:val="en-US" w:eastAsia="zh-CN"/>
        </w:rPr>
        <w:t>o</w:t>
      </w:r>
      <w:r w:rsidR="003D0D66" w:rsidRPr="00185DAC">
        <w:rPr>
          <w:rFonts w:ascii="Arial" w:hAnsi="Arial" w:cs="Arial" w:hint="eastAsia"/>
          <w:sz w:val="18"/>
          <w:szCs w:val="18"/>
          <w:lang w:val="en-US" w:eastAsia="zh-CN"/>
        </w:rPr>
        <w:t>C. (c) Pure spectra obtained by MCR-ALS using 4.2% CO* adsorbed Ni as S2.</w:t>
      </w:r>
    </w:p>
    <w:p w14:paraId="3A08259F" w14:textId="2E29858D" w:rsidR="005166FE" w:rsidRPr="00297F1D" w:rsidRDefault="005166FE" w:rsidP="005166FE">
      <w:pPr>
        <w:pStyle w:val="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6598275E" w14:textId="3F07D07B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451397">
        <w:rPr>
          <w:rFonts w:ascii="Arial" w:hAnsi="Arial" w:cs="Arial" w:hint="eastAsia"/>
          <w:sz w:val="15"/>
          <w:szCs w:val="15"/>
          <w:lang w:val="en-US" w:eastAsia="zh-CN"/>
        </w:rPr>
        <w:t>S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. </w:t>
      </w:r>
      <w:r w:rsidR="00451397">
        <w:rPr>
          <w:rFonts w:ascii="Arial" w:hAnsi="Arial" w:cs="Arial" w:hint="eastAsia"/>
          <w:sz w:val="15"/>
          <w:szCs w:val="15"/>
          <w:lang w:val="en-US" w:eastAsia="zh-CN"/>
        </w:rPr>
        <w:t>R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. </w:t>
      </w:r>
      <w:r w:rsidR="00451397">
        <w:rPr>
          <w:rFonts w:ascii="Arial" w:hAnsi="Arial" w:cs="Arial" w:hint="eastAsia"/>
          <w:sz w:val="15"/>
          <w:szCs w:val="15"/>
          <w:lang w:val="en-US" w:eastAsia="zh-CN"/>
        </w:rPr>
        <w:t>Docherty</w:t>
      </w:r>
      <w:r w:rsidR="00266171">
        <w:rPr>
          <w:rFonts w:ascii="Arial" w:hAnsi="Arial" w:cs="Arial" w:hint="eastAsia"/>
          <w:sz w:val="15"/>
          <w:szCs w:val="15"/>
          <w:lang w:val="en-US" w:eastAsia="zh-CN"/>
        </w:rPr>
        <w:t>, O. Safonova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 and </w:t>
      </w:r>
      <w:r w:rsidR="006F6750">
        <w:rPr>
          <w:rFonts w:ascii="Arial" w:hAnsi="Arial" w:cs="Arial" w:hint="eastAsia"/>
          <w:sz w:val="15"/>
          <w:szCs w:val="15"/>
          <w:lang w:val="en-US" w:eastAsia="zh-CN"/>
        </w:rPr>
        <w:t>C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. </w:t>
      </w:r>
      <w:r w:rsidR="006F6750">
        <w:rPr>
          <w:rFonts w:ascii="Arial" w:hAnsi="Arial" w:cs="Arial" w:hint="eastAsia"/>
          <w:sz w:val="15"/>
          <w:szCs w:val="15"/>
          <w:lang w:val="en-US" w:eastAsia="zh-CN"/>
        </w:rPr>
        <w:t>Coperet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, </w:t>
      </w:r>
      <w:r w:rsidR="007474EF">
        <w:rPr>
          <w:rFonts w:ascii="Arial" w:hAnsi="Arial" w:cs="Arial" w:hint="eastAsia"/>
          <w:i/>
          <w:iCs/>
          <w:sz w:val="15"/>
          <w:szCs w:val="15"/>
          <w:lang w:val="en-US" w:eastAsia="zh-CN"/>
        </w:rPr>
        <w:t>J. A</w:t>
      </w:r>
      <w:r w:rsidR="0048740D">
        <w:rPr>
          <w:rFonts w:ascii="Arial" w:hAnsi="Arial" w:cs="Arial" w:hint="eastAsia"/>
          <w:i/>
          <w:iCs/>
          <w:sz w:val="15"/>
          <w:szCs w:val="15"/>
          <w:lang w:val="en-US" w:eastAsia="zh-CN"/>
        </w:rPr>
        <w:t>m. Chem. Soc</w:t>
      </w:r>
      <w:r w:rsidRPr="002E40F1">
        <w:rPr>
          <w:rFonts w:ascii="Arial" w:hAnsi="Arial" w:cs="Arial"/>
          <w:sz w:val="15"/>
          <w:szCs w:val="15"/>
          <w:lang w:val="en-US"/>
        </w:rPr>
        <w:t>, 20</w:t>
      </w:r>
      <w:r w:rsidR="0043550A">
        <w:rPr>
          <w:rFonts w:ascii="Arial" w:hAnsi="Arial" w:cs="Arial" w:hint="eastAsia"/>
          <w:sz w:val="15"/>
          <w:szCs w:val="15"/>
          <w:lang w:val="en-US" w:eastAsia="zh-CN"/>
        </w:rPr>
        <w:t>23</w:t>
      </w:r>
      <w:r w:rsidR="009622C0">
        <w:rPr>
          <w:rFonts w:ascii="Arial" w:hAnsi="Arial" w:cs="Arial" w:hint="eastAsia"/>
          <w:sz w:val="15"/>
          <w:szCs w:val="15"/>
          <w:lang w:val="en-US" w:eastAsia="zh-CN"/>
        </w:rPr>
        <w:t>, 145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, </w:t>
      </w:r>
      <w:r w:rsidR="009622C0">
        <w:rPr>
          <w:rFonts w:ascii="Arial" w:hAnsi="Arial" w:cs="Arial" w:hint="eastAsia"/>
          <w:sz w:val="15"/>
          <w:szCs w:val="15"/>
          <w:lang w:val="en-US" w:eastAsia="zh-CN"/>
        </w:rPr>
        <w:t>13526-13530</w:t>
      </w:r>
      <w:r w:rsidRPr="002E40F1">
        <w:rPr>
          <w:rFonts w:ascii="Arial" w:hAnsi="Arial" w:cs="Arial"/>
          <w:sz w:val="15"/>
          <w:szCs w:val="15"/>
          <w:lang w:val="en-US"/>
        </w:rPr>
        <w:t xml:space="preserve">. </w:t>
      </w:r>
    </w:p>
    <w:p w14:paraId="0F08F75C" w14:textId="690121EA" w:rsidR="005166FE" w:rsidRPr="009752A0" w:rsidRDefault="005166FE" w:rsidP="009752A0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7E3AEF" w:rsidRPr="007E3AEF">
        <w:rPr>
          <w:rFonts w:ascii="Arial" w:hAnsi="Arial" w:cs="Arial"/>
          <w:sz w:val="15"/>
          <w:szCs w:val="15"/>
          <w:lang w:val="en-US"/>
        </w:rPr>
        <w:t>J. F. M. Simons, T. J. de Heer, V. Muravev, N. Kosinov</w:t>
      </w:r>
      <w:r w:rsidR="007E3AEF">
        <w:rPr>
          <w:rFonts w:ascii="Arial" w:hAnsi="Arial" w:cs="Arial" w:hint="eastAsia"/>
          <w:sz w:val="15"/>
          <w:szCs w:val="15"/>
          <w:lang w:val="en-US" w:eastAsia="zh-CN"/>
        </w:rPr>
        <w:t xml:space="preserve"> and</w:t>
      </w:r>
      <w:r w:rsidR="007E3AEF" w:rsidRPr="007E3AEF">
        <w:rPr>
          <w:rFonts w:ascii="Arial" w:hAnsi="Arial" w:cs="Arial"/>
          <w:sz w:val="15"/>
          <w:szCs w:val="15"/>
          <w:lang w:val="en-US"/>
        </w:rPr>
        <w:t xml:space="preserve"> E. J. M. Hensen, </w:t>
      </w:r>
      <w:r w:rsidR="007E3AEF" w:rsidRPr="007E3AEF">
        <w:rPr>
          <w:rFonts w:ascii="Arial" w:hAnsi="Arial" w:cs="Arial"/>
          <w:i/>
          <w:iCs/>
          <w:sz w:val="15"/>
          <w:szCs w:val="15"/>
          <w:lang w:val="en-US"/>
        </w:rPr>
        <w:t>J. Am. Chem. Soc</w:t>
      </w:r>
      <w:r w:rsidR="007E3AEF" w:rsidRPr="007E3AEF">
        <w:rPr>
          <w:rFonts w:ascii="Arial" w:hAnsi="Arial" w:cs="Arial"/>
          <w:sz w:val="15"/>
          <w:szCs w:val="15"/>
          <w:lang w:val="en-US"/>
        </w:rPr>
        <w:t>. 145 (2023) 20289.</w:t>
      </w:r>
    </w:p>
    <w:sectPr w:rsidR="005166FE" w:rsidRPr="0097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68AB" w14:textId="77777777" w:rsidR="00CB7377" w:rsidRDefault="00CB7377" w:rsidP="00B46EE6">
      <w:r>
        <w:separator/>
      </w:r>
    </w:p>
  </w:endnote>
  <w:endnote w:type="continuationSeparator" w:id="0">
    <w:p w14:paraId="25D21C39" w14:textId="77777777" w:rsidR="00CB7377" w:rsidRDefault="00CB7377" w:rsidP="00B4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1EFC" w14:textId="77777777" w:rsidR="00CB7377" w:rsidRDefault="00CB7377" w:rsidP="00B46EE6">
      <w:r>
        <w:separator/>
      </w:r>
    </w:p>
  </w:footnote>
  <w:footnote w:type="continuationSeparator" w:id="0">
    <w:p w14:paraId="3121132F" w14:textId="77777777" w:rsidR="00CB7377" w:rsidRDefault="00CB7377" w:rsidP="00B4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137955"/>
    <w:rsid w:val="00185DAC"/>
    <w:rsid w:val="00266171"/>
    <w:rsid w:val="00297F1D"/>
    <w:rsid w:val="002E40F1"/>
    <w:rsid w:val="003147CF"/>
    <w:rsid w:val="003D0D66"/>
    <w:rsid w:val="003E1DFC"/>
    <w:rsid w:val="0043550A"/>
    <w:rsid w:val="00451397"/>
    <w:rsid w:val="004679D8"/>
    <w:rsid w:val="0048740D"/>
    <w:rsid w:val="005166FE"/>
    <w:rsid w:val="00587180"/>
    <w:rsid w:val="005910C6"/>
    <w:rsid w:val="00624101"/>
    <w:rsid w:val="0063764B"/>
    <w:rsid w:val="006477D0"/>
    <w:rsid w:val="006F6750"/>
    <w:rsid w:val="00726957"/>
    <w:rsid w:val="007474EF"/>
    <w:rsid w:val="0079444C"/>
    <w:rsid w:val="007D0553"/>
    <w:rsid w:val="007E3AEF"/>
    <w:rsid w:val="007E7378"/>
    <w:rsid w:val="00807D07"/>
    <w:rsid w:val="008D4E08"/>
    <w:rsid w:val="008E1D7E"/>
    <w:rsid w:val="0091292E"/>
    <w:rsid w:val="009622C0"/>
    <w:rsid w:val="009752A0"/>
    <w:rsid w:val="00AB1846"/>
    <w:rsid w:val="00B06DCF"/>
    <w:rsid w:val="00B46EE6"/>
    <w:rsid w:val="00C672A8"/>
    <w:rsid w:val="00CB7377"/>
    <w:rsid w:val="00CF36A0"/>
    <w:rsid w:val="00CF5217"/>
    <w:rsid w:val="00D24586"/>
    <w:rsid w:val="00DF3681"/>
    <w:rsid w:val="00E30A4A"/>
    <w:rsid w:val="00F92346"/>
    <w:rsid w:val="00FE0623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8210A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fr-FR" w:eastAsia="fr-FR"/>
    </w:rPr>
  </w:style>
  <w:style w:type="paragraph" w:styleId="1">
    <w:name w:val="heading 1"/>
    <w:basedOn w:val="a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title">
    <w:name w:val="papertitle"/>
    <w:basedOn w:val="a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a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a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a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a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a"/>
    <w:rsid w:val="005166FE"/>
    <w:pPr>
      <w:jc w:val="both"/>
    </w:pPr>
    <w:rPr>
      <w:sz w:val="20"/>
      <w:szCs w:val="20"/>
    </w:rPr>
  </w:style>
  <w:style w:type="character" w:styleId="a3">
    <w:name w:val="Hyperlink"/>
    <w:basedOn w:val="a0"/>
    <w:rsid w:val="007E3A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AEF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B46E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46EE6"/>
    <w:rPr>
      <w:sz w:val="18"/>
      <w:szCs w:val="18"/>
      <w:lang w:val="fr-FR" w:eastAsia="fr-FR"/>
    </w:rPr>
  </w:style>
  <w:style w:type="paragraph" w:styleId="a7">
    <w:name w:val="footer"/>
    <w:basedOn w:val="a"/>
    <w:link w:val="a8"/>
    <w:rsid w:val="00B46E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46EE6"/>
    <w:rPr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508</TotalTime>
  <Pages>1</Pages>
  <Words>356</Words>
  <Characters>2106</Characters>
  <Application>Microsoft Office Word</Application>
  <DocSecurity>0</DocSecurity>
  <Lines>34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Zhang, Shuchi</cp:lastModifiedBy>
  <cp:revision>5</cp:revision>
  <cp:lastPrinted>1899-12-31T23:00:00Z</cp:lastPrinted>
  <dcterms:created xsi:type="dcterms:W3CDTF">2026-07-06T19:20:00Z</dcterms:created>
  <dcterms:modified xsi:type="dcterms:W3CDTF">2026-07-07T20:49:00Z</dcterms:modified>
</cp:coreProperties>
</file>