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1B281" w14:textId="77777777" w:rsidR="00A1070C" w:rsidRDefault="00A1070C" w:rsidP="00761E50">
      <w:pPr>
        <w:pStyle w:val="isselectedend"/>
        <w:jc w:val="center"/>
        <w:rPr>
          <w:rFonts w:ascii="Arial" w:hAnsi="Arial" w:cs="Arial"/>
          <w:b/>
          <w:sz w:val="36"/>
          <w:szCs w:val="36"/>
          <w:lang w:eastAsia="fr-FR"/>
        </w:rPr>
      </w:pPr>
      <w:r w:rsidRPr="00A1070C">
        <w:rPr>
          <w:rFonts w:ascii="Arial" w:hAnsi="Arial" w:cs="Arial"/>
          <w:b/>
          <w:sz w:val="36"/>
          <w:szCs w:val="36"/>
          <w:lang w:eastAsia="fr-FR"/>
        </w:rPr>
        <w:t>Tender X-ray photon-in/photon-out spectroscopy at ESRF ID26</w:t>
      </w:r>
    </w:p>
    <w:p w14:paraId="6E01D281" w14:textId="7801989F" w:rsidR="00761E50" w:rsidRPr="008D0488" w:rsidRDefault="00761E50" w:rsidP="00761E50">
      <w:pPr>
        <w:pStyle w:val="isselectedend"/>
        <w:jc w:val="center"/>
        <w:rPr>
          <w:rFonts w:ascii="Calibri" w:hAnsi="Calibri" w:cs="Calibri"/>
          <w:lang w:val="it-IT"/>
        </w:rPr>
      </w:pPr>
      <w:r w:rsidRPr="008D0488">
        <w:rPr>
          <w:rFonts w:ascii="Arial" w:hAnsi="Arial" w:cs="Arial"/>
          <w:sz w:val="28"/>
          <w:szCs w:val="28"/>
          <w:lang w:val="it-IT"/>
        </w:rPr>
        <w:t>P. Glatze</w:t>
      </w:r>
      <w:r w:rsidR="008D0488">
        <w:rPr>
          <w:rFonts w:ascii="Arial" w:hAnsi="Arial" w:cs="Arial"/>
          <w:sz w:val="28"/>
          <w:szCs w:val="28"/>
          <w:lang w:val="it-IT"/>
        </w:rPr>
        <w:t>l</w:t>
      </w:r>
      <w:r w:rsidR="009C2013" w:rsidRPr="008D0488">
        <w:rPr>
          <w:rFonts w:ascii="Arial" w:hAnsi="Arial" w:cs="Arial"/>
          <w:sz w:val="28"/>
          <w:szCs w:val="28"/>
          <w:vertAlign w:val="superscript"/>
          <w:lang w:val="it-IT"/>
        </w:rPr>
        <w:t>1</w:t>
      </w:r>
    </w:p>
    <w:p w14:paraId="56F59387" w14:textId="3890754D" w:rsidR="005166FE" w:rsidRPr="008D0488" w:rsidRDefault="009C2013" w:rsidP="005166FE">
      <w:pPr>
        <w:pStyle w:val="authoraffiliation"/>
        <w:rPr>
          <w:rFonts w:ascii="Arial" w:hAnsi="Arial" w:cs="Arial"/>
          <w:lang w:val="it-IT"/>
        </w:rPr>
      </w:pPr>
      <w:r w:rsidRPr="008D0488">
        <w:rPr>
          <w:rFonts w:ascii="Arial" w:hAnsi="Arial" w:cs="Arial"/>
          <w:vertAlign w:val="superscript"/>
          <w:lang w:val="it-IT"/>
        </w:rPr>
        <w:t>1</w:t>
      </w:r>
      <w:r w:rsidRPr="008D0488">
        <w:rPr>
          <w:rFonts w:ascii="Arial" w:hAnsi="Arial" w:cs="Arial"/>
          <w:lang w:val="it-IT"/>
        </w:rPr>
        <w:t xml:space="preserve"> </w:t>
      </w:r>
      <w:r w:rsidR="00761E50" w:rsidRPr="008D0488">
        <w:rPr>
          <w:rFonts w:ascii="Arial" w:hAnsi="Arial" w:cs="Arial"/>
          <w:lang w:val="it-IT"/>
        </w:rPr>
        <w:t xml:space="preserve">European Synchrotron Research Facility, 71 avenue de Martyrs, </w:t>
      </w:r>
      <w:r w:rsidRPr="008D0488">
        <w:rPr>
          <w:rFonts w:ascii="Arial" w:hAnsi="Arial" w:cs="Arial"/>
          <w:lang w:val="it-IT"/>
        </w:rPr>
        <w:t>38000 Grenoble</w:t>
      </w:r>
      <w:r w:rsidR="007B4FB7" w:rsidRPr="008D0488">
        <w:rPr>
          <w:rFonts w:ascii="Arial" w:hAnsi="Arial" w:cs="Arial"/>
          <w:lang w:val="it-IT"/>
        </w:rPr>
        <w:t>, France</w:t>
      </w:r>
    </w:p>
    <w:p w14:paraId="1F742AEF" w14:textId="77777777" w:rsidR="009C2013" w:rsidRPr="008D0488" w:rsidRDefault="009C2013" w:rsidP="009C2013">
      <w:pPr>
        <w:pStyle w:val="authoraffiliation"/>
        <w:rPr>
          <w:rFonts w:ascii="Arial" w:hAnsi="Arial" w:cs="Arial"/>
          <w:lang w:val="it-IT"/>
        </w:rPr>
      </w:pPr>
    </w:p>
    <w:p w14:paraId="7AEFF1E3" w14:textId="77777777" w:rsidR="00A1070C" w:rsidRDefault="00761E50" w:rsidP="00A1070C">
      <w:pPr>
        <w:pStyle w:val="paragraph"/>
        <w:rPr>
          <w:rFonts w:ascii="Arial" w:hAnsi="Arial" w:cs="Arial"/>
          <w:sz w:val="22"/>
          <w:szCs w:val="22"/>
          <w:lang w:val="en-GB"/>
        </w:rPr>
      </w:pPr>
      <w:r w:rsidRPr="008E410B">
        <w:rPr>
          <w:rFonts w:ascii="Arial" w:hAnsi="Arial" w:cs="Arial"/>
          <w:sz w:val="22"/>
          <w:szCs w:val="22"/>
          <w:lang w:val="en-US"/>
        </w:rPr>
        <w:br/>
      </w:r>
      <w:r w:rsidR="00A1070C" w:rsidRPr="00A1070C">
        <w:rPr>
          <w:rFonts w:ascii="Arial" w:hAnsi="Arial" w:cs="Arial"/>
          <w:sz w:val="22"/>
          <w:szCs w:val="22"/>
          <w:lang w:val="en-GB"/>
        </w:rPr>
        <w:t xml:space="preserve">The energy range between 1.5 and 4.5 keV (tender X-rays) covers the K-edges of Al, Si, P, S, Cl, K and Ca, the L-edges of 4d transition metals and the M-edges of actinides. 4d transition metals and actinides can also be measured in the hard x-ray range but the smaller lifetime broadening and favorable selection rules to probe the valence orbitals directly make the tender X-ray range interesting also for those elements. X-ray emission spectroscopy (XES) in combination with X-ray absorption spectroscopy (XAS), photon-in/photon-out spectroscopy, can provide sharper spectral features and allows studying the occupied and unoccupied density of electronic states thus providing a wealth of information. </w:t>
      </w:r>
    </w:p>
    <w:p w14:paraId="2441315F" w14:textId="77777777" w:rsidR="00A1070C" w:rsidRPr="00A1070C" w:rsidRDefault="00A1070C" w:rsidP="00A1070C">
      <w:pPr>
        <w:pStyle w:val="paragraph"/>
        <w:rPr>
          <w:rFonts w:ascii="Arial" w:hAnsi="Arial" w:cs="Arial"/>
          <w:sz w:val="22"/>
          <w:szCs w:val="22"/>
          <w:lang w:val="en-GB"/>
        </w:rPr>
      </w:pPr>
    </w:p>
    <w:p w14:paraId="621F9004" w14:textId="77777777" w:rsidR="00A1070C" w:rsidRDefault="00A1070C" w:rsidP="00A1070C">
      <w:pPr>
        <w:pStyle w:val="paragraph"/>
        <w:rPr>
          <w:rFonts w:ascii="Arial" w:hAnsi="Arial" w:cs="Arial"/>
          <w:sz w:val="22"/>
          <w:szCs w:val="22"/>
          <w:lang w:val="en-GB"/>
        </w:rPr>
      </w:pPr>
      <w:r w:rsidRPr="00A1070C">
        <w:rPr>
          <w:rFonts w:ascii="Arial" w:hAnsi="Arial" w:cs="Arial"/>
          <w:sz w:val="22"/>
          <w:szCs w:val="22"/>
          <w:lang w:val="en-GB"/>
        </w:rPr>
        <w:t>Tender X-ray emission spectrometers have been realized in dispersive and scanning geometries at various synchrotron radiation end-stations and at laboratory X-ray sources. Beamline ID26 at the ESRF features an instrument in non-dispersive, scanning geometry that employs eleven Johansson or Johann crystals in combination with a gas proportional counter or a pixel detector [1]. The 80 mm long Si crystal wafers are cylindrically bent to 1m radius in the meridional plane. The sagittal dimension is 25mm requiring a large detector surface of 50 x 25 mm2. The angular range of the instrument is 35 to 85 degrees.</w:t>
      </w:r>
    </w:p>
    <w:p w14:paraId="1EA07BBE" w14:textId="77777777" w:rsidR="00A1070C" w:rsidRPr="00A1070C" w:rsidRDefault="00A1070C" w:rsidP="00A1070C">
      <w:pPr>
        <w:pStyle w:val="paragraph"/>
        <w:rPr>
          <w:rFonts w:ascii="Arial" w:hAnsi="Arial" w:cs="Arial"/>
          <w:sz w:val="22"/>
          <w:szCs w:val="22"/>
          <w:lang w:val="en-GB"/>
        </w:rPr>
      </w:pPr>
    </w:p>
    <w:p w14:paraId="6F6A4CC3" w14:textId="6FE4E1B6" w:rsidR="005166FE" w:rsidRDefault="00A1070C" w:rsidP="00A1070C">
      <w:pPr>
        <w:pStyle w:val="paragraph"/>
        <w:rPr>
          <w:rFonts w:ascii="Arial" w:hAnsi="Arial" w:cs="Arial"/>
          <w:sz w:val="22"/>
          <w:szCs w:val="22"/>
          <w:lang w:val="en-GB"/>
        </w:rPr>
      </w:pPr>
      <w:r w:rsidRPr="00A1070C">
        <w:rPr>
          <w:rFonts w:ascii="Arial" w:hAnsi="Arial" w:cs="Arial"/>
          <w:sz w:val="22"/>
          <w:szCs w:val="22"/>
          <w:lang w:val="en-GB"/>
        </w:rPr>
        <w:t>The short absorption length in the tender X-ray range poses several challenges with respect to spectral quality, normalization and sample environment. The need for in situ and operando studies of materials has dramatically grown with the transition to renewable sources of energy. Carrying out such studies in the vacuum chamber of the ID26 tender X-ray instrument has thus become a top priority. To this end, we developed operando cells for (electro)catalysis experiments. The presentation will present some fundamental considerations for tender X-ray photon-in/photon-out spectroscopy as well as the ID26 spectrometer with the operando cells.</w:t>
      </w:r>
    </w:p>
    <w:p w14:paraId="6C350112" w14:textId="77777777" w:rsidR="00A1070C" w:rsidRDefault="00A1070C" w:rsidP="00A1070C">
      <w:pPr>
        <w:pStyle w:val="paragraph"/>
        <w:rPr>
          <w:rFonts w:ascii="Arial" w:hAnsi="Arial" w:cs="Arial"/>
          <w:sz w:val="22"/>
          <w:szCs w:val="22"/>
          <w:lang w:val="en-GB"/>
        </w:rPr>
      </w:pPr>
    </w:p>
    <w:p w14:paraId="1A75EC2F" w14:textId="77777777" w:rsidR="00A1070C" w:rsidRPr="00297F1D" w:rsidRDefault="00A1070C" w:rsidP="00A1070C">
      <w:pPr>
        <w:pStyle w:val="Heading1"/>
        <w:rPr>
          <w:rFonts w:ascii="Arial" w:hAnsi="Arial" w:cs="Arial"/>
          <w:caps w:val="0"/>
          <w:color w:val="0000FF"/>
          <w:sz w:val="22"/>
          <w:szCs w:val="22"/>
          <w:lang w:val="en-GB"/>
        </w:rPr>
      </w:pPr>
      <w:r w:rsidRPr="002E40F1">
        <w:rPr>
          <w:rFonts w:ascii="Arial" w:hAnsi="Arial" w:cs="Arial"/>
          <w:sz w:val="22"/>
          <w:szCs w:val="22"/>
          <w:lang w:val="en-US"/>
        </w:rPr>
        <w:t>References</w:t>
      </w:r>
      <w:r>
        <w:rPr>
          <w:rFonts w:ascii="Arial" w:hAnsi="Arial" w:cs="Arial"/>
          <w:sz w:val="22"/>
          <w:szCs w:val="22"/>
          <w:lang w:val="en-US"/>
        </w:rPr>
        <w:t xml:space="preserve"> </w:t>
      </w:r>
    </w:p>
    <w:p w14:paraId="12852F58" w14:textId="77777777" w:rsidR="00A1070C" w:rsidRDefault="00A1070C" w:rsidP="00A1070C">
      <w:pPr>
        <w:pStyle w:val="paragraph"/>
        <w:ind w:firstLine="0"/>
        <w:rPr>
          <w:rFonts w:ascii="Arial" w:hAnsi="Arial" w:cs="Arial"/>
          <w:sz w:val="22"/>
          <w:szCs w:val="22"/>
          <w:lang w:val="en-GB"/>
        </w:rPr>
      </w:pPr>
    </w:p>
    <w:p w14:paraId="632C9027" w14:textId="77777777" w:rsidR="00A1070C" w:rsidRDefault="00A1070C" w:rsidP="00A1070C">
      <w:pPr>
        <w:pStyle w:val="paragraph"/>
        <w:rPr>
          <w:rFonts w:ascii="Arial" w:hAnsi="Arial" w:cs="Arial"/>
          <w:sz w:val="22"/>
          <w:szCs w:val="22"/>
          <w:lang w:val="en-GB"/>
        </w:rPr>
      </w:pPr>
    </w:p>
    <w:p w14:paraId="5BFE7532" w14:textId="77777777" w:rsidR="00A1070C" w:rsidRPr="001460F8" w:rsidRDefault="00A1070C" w:rsidP="00A1070C">
      <w:pPr>
        <w:rPr>
          <w:rFonts w:cstheme="minorHAnsi"/>
        </w:rPr>
      </w:pPr>
      <w:r w:rsidRPr="001460F8">
        <w:rPr>
          <w:rFonts w:cstheme="minorHAnsi"/>
        </w:rPr>
        <w:t>[1] Rovezzi et al. https://doi.org/10.1107/S160057752000243X</w:t>
      </w:r>
    </w:p>
    <w:p w14:paraId="59A301E9" w14:textId="0E9A3210" w:rsidR="00A1070C" w:rsidRPr="001460F8" w:rsidRDefault="00A1070C" w:rsidP="00A1070C">
      <w:pPr>
        <w:pStyle w:val="NormalWeb"/>
        <w:spacing w:before="0" w:beforeAutospacing="0" w:after="0" w:afterAutospacing="0"/>
        <w:rPr>
          <w:rStyle w:val="Hyperlink"/>
          <w:rFonts w:asciiTheme="minorHAnsi" w:eastAsia="Calibri" w:hAnsiTheme="minorHAnsi" w:cstheme="minorHAnsi"/>
          <w:kern w:val="24"/>
          <w:sz w:val="22"/>
          <w:szCs w:val="22"/>
          <w:lang w:val="fr-FR"/>
        </w:rPr>
      </w:pPr>
      <w:r w:rsidRPr="001460F8">
        <w:rPr>
          <w:rFonts w:asciiTheme="minorHAnsi" w:hAnsiTheme="minorHAnsi" w:cstheme="minorHAnsi"/>
          <w:sz w:val="22"/>
          <w:szCs w:val="22"/>
          <w:lang w:val="fr-FR"/>
        </w:rPr>
        <w:t xml:space="preserve">[2] </w:t>
      </w:r>
      <w:r w:rsidRPr="001460F8">
        <w:rPr>
          <w:rFonts w:asciiTheme="minorHAnsi" w:eastAsia="Calibri" w:hAnsiTheme="minorHAnsi" w:cstheme="minorHAnsi"/>
          <w:kern w:val="24"/>
          <w:sz w:val="22"/>
          <w:szCs w:val="22"/>
          <w:lang w:val="fr-FR"/>
        </w:rPr>
        <w:t xml:space="preserve">Suarez Orduz et al. </w:t>
      </w:r>
      <w:hyperlink r:id="rId4" w:history="1">
        <w:r w:rsidRPr="001460F8">
          <w:rPr>
            <w:rStyle w:val="Hyperlink"/>
            <w:rFonts w:asciiTheme="minorHAnsi" w:eastAsia="Calibri" w:hAnsiTheme="minorHAnsi" w:cstheme="minorHAnsi"/>
            <w:kern w:val="24"/>
            <w:sz w:val="22"/>
            <w:szCs w:val="22"/>
            <w:lang w:val="fr-FR"/>
          </w:rPr>
          <w:t>https://doi.org/10.1002/cmtd.202300044</w:t>
        </w:r>
      </w:hyperlink>
    </w:p>
    <w:p w14:paraId="5D8D3E41" w14:textId="77777777" w:rsidR="00A1070C" w:rsidRPr="001460F8" w:rsidRDefault="00A1070C" w:rsidP="00A1070C">
      <w:pPr>
        <w:pStyle w:val="NormalWeb"/>
        <w:spacing w:before="0" w:beforeAutospacing="0" w:after="0" w:afterAutospacing="0"/>
        <w:rPr>
          <w:rStyle w:val="Hyperlink"/>
          <w:rFonts w:asciiTheme="minorHAnsi" w:eastAsia="Calibri" w:hAnsiTheme="minorHAnsi" w:cstheme="minorHAnsi"/>
          <w:kern w:val="24"/>
          <w:sz w:val="22"/>
          <w:szCs w:val="22"/>
          <w:lang w:val="fr-FR"/>
        </w:rPr>
      </w:pPr>
      <w:r w:rsidRPr="001460F8">
        <w:rPr>
          <w:rStyle w:val="doicatchline"/>
          <w:rFonts w:asciiTheme="minorHAnsi" w:hAnsiTheme="minorHAnsi" w:cstheme="minorHAnsi"/>
          <w:sz w:val="22"/>
          <w:szCs w:val="22"/>
          <w:lang w:val="fr-FR"/>
        </w:rPr>
        <w:t xml:space="preserve">[3] Bugarin et al., </w:t>
      </w:r>
      <w:hyperlink r:id="rId5" w:history="1">
        <w:r w:rsidRPr="001460F8">
          <w:rPr>
            <w:rStyle w:val="Hyperlink"/>
            <w:rFonts w:asciiTheme="minorHAnsi" w:hAnsiTheme="minorHAnsi" w:cstheme="minorHAnsi"/>
            <w:sz w:val="22"/>
            <w:szCs w:val="22"/>
            <w:lang w:val="fr-FR"/>
          </w:rPr>
          <w:t>https://doi.org/10.1107/S1600577524005307</w:t>
        </w:r>
      </w:hyperlink>
    </w:p>
    <w:p w14:paraId="6C1AD230" w14:textId="77777777" w:rsidR="00A1070C" w:rsidRPr="00A1070C" w:rsidRDefault="00A1070C" w:rsidP="00A1070C">
      <w:pPr>
        <w:pStyle w:val="paragraph"/>
        <w:rPr>
          <w:rFonts w:ascii="Arial" w:hAnsi="Arial" w:cs="Arial"/>
        </w:rPr>
      </w:pPr>
    </w:p>
    <w:sectPr w:rsidR="00A1070C" w:rsidRPr="00A107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FE"/>
    <w:rsid w:val="00041ED8"/>
    <w:rsid w:val="000702A3"/>
    <w:rsid w:val="00144B34"/>
    <w:rsid w:val="00291220"/>
    <w:rsid w:val="00297F1D"/>
    <w:rsid w:val="002E40F1"/>
    <w:rsid w:val="00342CEC"/>
    <w:rsid w:val="0037575B"/>
    <w:rsid w:val="003A6320"/>
    <w:rsid w:val="004E2BA6"/>
    <w:rsid w:val="005166FE"/>
    <w:rsid w:val="0055438D"/>
    <w:rsid w:val="005A4A72"/>
    <w:rsid w:val="0063764B"/>
    <w:rsid w:val="006477D0"/>
    <w:rsid w:val="00696E38"/>
    <w:rsid w:val="00753DCF"/>
    <w:rsid w:val="00761E50"/>
    <w:rsid w:val="007B4FB7"/>
    <w:rsid w:val="007E7378"/>
    <w:rsid w:val="008D0488"/>
    <w:rsid w:val="008D4E08"/>
    <w:rsid w:val="008E410B"/>
    <w:rsid w:val="0091292E"/>
    <w:rsid w:val="009157E2"/>
    <w:rsid w:val="0095495E"/>
    <w:rsid w:val="009C2013"/>
    <w:rsid w:val="009E7A1A"/>
    <w:rsid w:val="00A1070C"/>
    <w:rsid w:val="00AB0574"/>
    <w:rsid w:val="00AB1846"/>
    <w:rsid w:val="00AE09BF"/>
    <w:rsid w:val="00B06DCF"/>
    <w:rsid w:val="00B0712E"/>
    <w:rsid w:val="00B956DA"/>
    <w:rsid w:val="00C95711"/>
    <w:rsid w:val="00CF36A0"/>
    <w:rsid w:val="00D54FF6"/>
    <w:rsid w:val="00DF3681"/>
    <w:rsid w:val="00E30A4A"/>
    <w:rsid w:val="00EA43B8"/>
    <w:rsid w:val="00FE06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DA538"/>
  <w15:chartTrackingRefBased/>
  <w15:docId w15:val="{3D3F9E7F-7217-468F-BD91-F8A20A3C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paragraph" w:styleId="Heading1">
    <w:name w:val="heading 1"/>
    <w:basedOn w:val="Normal"/>
    <w:qFormat/>
    <w:rsid w:val="005166FE"/>
    <w:pPr>
      <w:keepNext/>
      <w:spacing w:before="240" w:after="240"/>
      <w:jc w:val="center"/>
      <w:outlineLvl w:val="0"/>
    </w:pPr>
    <w:rPr>
      <w:b/>
      <w:bCs/>
      <w:cap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rsid w:val="005166FE"/>
    <w:pPr>
      <w:spacing w:before="960"/>
      <w:jc w:val="center"/>
    </w:pPr>
    <w:rPr>
      <w:b/>
      <w:bCs/>
      <w:sz w:val="36"/>
      <w:szCs w:val="36"/>
    </w:rPr>
  </w:style>
  <w:style w:type="paragraph" w:customStyle="1" w:styleId="paperauthor">
    <w:name w:val="paperauthor"/>
    <w:basedOn w:val="Normal"/>
    <w:rsid w:val="005166FE"/>
    <w:pPr>
      <w:spacing w:before="360" w:after="360"/>
      <w:jc w:val="center"/>
    </w:pPr>
    <w:rPr>
      <w:sz w:val="28"/>
      <w:szCs w:val="28"/>
    </w:rPr>
  </w:style>
  <w:style w:type="paragraph" w:customStyle="1" w:styleId="authoraffiliation">
    <w:name w:val="authoraffiliation"/>
    <w:basedOn w:val="Normal"/>
    <w:rsid w:val="005166FE"/>
    <w:pPr>
      <w:jc w:val="center"/>
    </w:pPr>
    <w:rPr>
      <w:i/>
      <w:iCs/>
      <w:sz w:val="20"/>
      <w:szCs w:val="20"/>
    </w:rPr>
  </w:style>
  <w:style w:type="paragraph" w:customStyle="1" w:styleId="paragraph">
    <w:name w:val="paragraph"/>
    <w:basedOn w:val="Normal"/>
    <w:rsid w:val="005166FE"/>
    <w:pPr>
      <w:ind w:firstLine="274"/>
      <w:jc w:val="both"/>
    </w:pPr>
    <w:rPr>
      <w:sz w:val="20"/>
      <w:szCs w:val="20"/>
    </w:rPr>
  </w:style>
  <w:style w:type="paragraph" w:customStyle="1" w:styleId="reference">
    <w:name w:val="reference"/>
    <w:basedOn w:val="Normal"/>
    <w:rsid w:val="005166FE"/>
    <w:pPr>
      <w:ind w:left="274" w:hanging="274"/>
      <w:jc w:val="both"/>
    </w:pPr>
    <w:rPr>
      <w:sz w:val="18"/>
      <w:szCs w:val="18"/>
    </w:rPr>
  </w:style>
  <w:style w:type="paragraph" w:customStyle="1" w:styleId="equation">
    <w:name w:val="equation"/>
    <w:basedOn w:val="Normal"/>
    <w:rsid w:val="005166FE"/>
    <w:pPr>
      <w:jc w:val="both"/>
    </w:pPr>
    <w:rPr>
      <w:sz w:val="20"/>
      <w:szCs w:val="20"/>
    </w:rPr>
  </w:style>
  <w:style w:type="character" w:styleId="Emphasis">
    <w:name w:val="Emphasis"/>
    <w:uiPriority w:val="20"/>
    <w:qFormat/>
    <w:rsid w:val="00761E50"/>
    <w:rPr>
      <w:i/>
      <w:iCs/>
    </w:rPr>
  </w:style>
  <w:style w:type="character" w:styleId="Strong">
    <w:name w:val="Strong"/>
    <w:uiPriority w:val="22"/>
    <w:qFormat/>
    <w:rsid w:val="00761E50"/>
    <w:rPr>
      <w:b/>
      <w:bCs/>
    </w:rPr>
  </w:style>
  <w:style w:type="paragraph" w:customStyle="1" w:styleId="isselectedend">
    <w:name w:val="isselectedend"/>
    <w:basedOn w:val="Normal"/>
    <w:rsid w:val="00761E50"/>
    <w:pPr>
      <w:spacing w:before="100" w:beforeAutospacing="1" w:after="100" w:afterAutospacing="1"/>
    </w:pPr>
    <w:rPr>
      <w:lang w:val="en-US" w:eastAsia="en-US"/>
    </w:rPr>
  </w:style>
  <w:style w:type="paragraph" w:styleId="Revision">
    <w:name w:val="Revision"/>
    <w:hidden/>
    <w:uiPriority w:val="99"/>
    <w:semiHidden/>
    <w:rsid w:val="00AB0574"/>
    <w:rPr>
      <w:sz w:val="24"/>
      <w:szCs w:val="24"/>
      <w:lang w:val="fr-FR" w:eastAsia="fr-FR"/>
    </w:rPr>
  </w:style>
  <w:style w:type="character" w:styleId="CommentReference">
    <w:name w:val="annotation reference"/>
    <w:basedOn w:val="DefaultParagraphFont"/>
    <w:rsid w:val="00B956DA"/>
    <w:rPr>
      <w:sz w:val="16"/>
      <w:szCs w:val="16"/>
    </w:rPr>
  </w:style>
  <w:style w:type="paragraph" w:styleId="CommentText">
    <w:name w:val="annotation text"/>
    <w:basedOn w:val="Normal"/>
    <w:link w:val="CommentTextChar"/>
    <w:rsid w:val="00B956DA"/>
    <w:rPr>
      <w:sz w:val="20"/>
      <w:szCs w:val="20"/>
    </w:rPr>
  </w:style>
  <w:style w:type="character" w:customStyle="1" w:styleId="CommentTextChar">
    <w:name w:val="Comment Text Char"/>
    <w:basedOn w:val="DefaultParagraphFont"/>
    <w:link w:val="CommentText"/>
    <w:rsid w:val="00B956DA"/>
    <w:rPr>
      <w:lang w:val="fr-FR" w:eastAsia="fr-FR"/>
    </w:rPr>
  </w:style>
  <w:style w:type="paragraph" w:styleId="CommentSubject">
    <w:name w:val="annotation subject"/>
    <w:basedOn w:val="CommentText"/>
    <w:next w:val="CommentText"/>
    <w:link w:val="CommentSubjectChar"/>
    <w:rsid w:val="00B956DA"/>
    <w:rPr>
      <w:b/>
      <w:bCs/>
    </w:rPr>
  </w:style>
  <w:style w:type="character" w:customStyle="1" w:styleId="CommentSubjectChar">
    <w:name w:val="Comment Subject Char"/>
    <w:basedOn w:val="CommentTextChar"/>
    <w:link w:val="CommentSubject"/>
    <w:rsid w:val="00B956DA"/>
    <w:rPr>
      <w:b/>
      <w:bCs/>
      <w:lang w:val="fr-FR" w:eastAsia="fr-FR"/>
    </w:rPr>
  </w:style>
  <w:style w:type="paragraph" w:styleId="NormalWeb">
    <w:name w:val="Normal (Web)"/>
    <w:basedOn w:val="Normal"/>
    <w:uiPriority w:val="99"/>
    <w:unhideWhenUsed/>
    <w:rsid w:val="00A1070C"/>
    <w:pPr>
      <w:spacing w:before="100" w:beforeAutospacing="1" w:after="100" w:afterAutospacing="1"/>
    </w:pPr>
    <w:rPr>
      <w:rFonts w:eastAsiaTheme="minorEastAsia"/>
      <w:lang w:val="en-US" w:eastAsia="en-US"/>
    </w:rPr>
  </w:style>
  <w:style w:type="character" w:styleId="Hyperlink">
    <w:name w:val="Hyperlink"/>
    <w:basedOn w:val="DefaultParagraphFont"/>
    <w:uiPriority w:val="99"/>
    <w:unhideWhenUsed/>
    <w:rsid w:val="00A1070C"/>
    <w:rPr>
      <w:color w:val="0000FF"/>
      <w:u w:val="single"/>
    </w:rPr>
  </w:style>
  <w:style w:type="character" w:customStyle="1" w:styleId="doicatchline">
    <w:name w:val="doi_catchline"/>
    <w:basedOn w:val="DefaultParagraphFont"/>
    <w:rsid w:val="00A10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96600">
      <w:bodyDiv w:val="1"/>
      <w:marLeft w:val="0"/>
      <w:marRight w:val="0"/>
      <w:marTop w:val="0"/>
      <w:marBottom w:val="0"/>
      <w:divBdr>
        <w:top w:val="none" w:sz="0" w:space="0" w:color="auto"/>
        <w:left w:val="none" w:sz="0" w:space="0" w:color="auto"/>
        <w:bottom w:val="none" w:sz="0" w:space="0" w:color="auto"/>
        <w:right w:val="none" w:sz="0" w:space="0" w:color="auto"/>
      </w:divBdr>
    </w:div>
    <w:div w:id="96606507">
      <w:bodyDiv w:val="1"/>
      <w:marLeft w:val="0"/>
      <w:marRight w:val="0"/>
      <w:marTop w:val="0"/>
      <w:marBottom w:val="0"/>
      <w:divBdr>
        <w:top w:val="none" w:sz="0" w:space="0" w:color="auto"/>
        <w:left w:val="none" w:sz="0" w:space="0" w:color="auto"/>
        <w:bottom w:val="none" w:sz="0" w:space="0" w:color="auto"/>
        <w:right w:val="none" w:sz="0" w:space="0" w:color="auto"/>
      </w:divBdr>
    </w:div>
    <w:div w:id="296112597">
      <w:bodyDiv w:val="1"/>
      <w:marLeft w:val="0"/>
      <w:marRight w:val="0"/>
      <w:marTop w:val="0"/>
      <w:marBottom w:val="0"/>
      <w:divBdr>
        <w:top w:val="none" w:sz="0" w:space="0" w:color="auto"/>
        <w:left w:val="none" w:sz="0" w:space="0" w:color="auto"/>
        <w:bottom w:val="none" w:sz="0" w:space="0" w:color="auto"/>
        <w:right w:val="none" w:sz="0" w:space="0" w:color="auto"/>
      </w:divBdr>
    </w:div>
    <w:div w:id="839471901">
      <w:bodyDiv w:val="1"/>
      <w:marLeft w:val="0"/>
      <w:marRight w:val="0"/>
      <w:marTop w:val="0"/>
      <w:marBottom w:val="0"/>
      <w:divBdr>
        <w:top w:val="none" w:sz="0" w:space="0" w:color="auto"/>
        <w:left w:val="none" w:sz="0" w:space="0" w:color="auto"/>
        <w:bottom w:val="none" w:sz="0" w:space="0" w:color="auto"/>
        <w:right w:val="none" w:sz="0" w:space="0" w:color="auto"/>
      </w:divBdr>
    </w:div>
    <w:div w:id="170652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107/S1600577524005307" TargetMode="External"/><Relationship Id="rId4" Type="http://schemas.openxmlformats.org/officeDocument/2006/relationships/hyperlink" Target="https://doi.org/10.1002/cmtd.20230004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AISS~1\LOCALS~1\Temp\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TEMPLATE3.dot</Template>
  <TotalTime>2</TotalTime>
  <Pages>1</Pages>
  <Words>335</Words>
  <Characters>2103</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Title Goes Here With Each Initial Letter Capitalized</vt:lpstr>
      <vt:lpstr>The Title Goes Here With Each Initial Letter Capitalized</vt:lpstr>
    </vt:vector>
  </TitlesOfParts>
  <Company>Synchrotron SOLEIL</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 With Each Initial Letter Capitalized</dc:title>
  <dc:subject/>
  <dc:creator>fraissard</dc:creator>
  <cp:keywords/>
  <dc:description/>
  <cp:lastModifiedBy>GLATZEL Jan Pieter</cp:lastModifiedBy>
  <cp:revision>3</cp:revision>
  <cp:lastPrinted>1899-12-31T23:50:00Z</cp:lastPrinted>
  <dcterms:created xsi:type="dcterms:W3CDTF">2026-07-08T11:46:00Z</dcterms:created>
  <dcterms:modified xsi:type="dcterms:W3CDTF">2026-07-08T11:48:00Z</dcterms:modified>
</cp:coreProperties>
</file>