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6D4" w:rsidRPr="00F273A6" w:rsidRDefault="00F273A6" w:rsidP="007F79ED">
      <w:pPr>
        <w:pStyle w:val="NormalWeb"/>
        <w:jc w:val="center"/>
        <w:rPr>
          <w:rFonts w:ascii="Arial" w:hAnsi="Arial" w:cs="Arial"/>
          <w:b/>
          <w:sz w:val="36"/>
          <w:szCs w:val="36"/>
          <w:lang w:val="en-US"/>
        </w:rPr>
      </w:pPr>
      <w:r w:rsidRPr="00F273A6">
        <w:rPr>
          <w:rFonts w:ascii="Arial" w:hAnsi="Arial" w:cs="Arial"/>
          <w:b/>
          <w:sz w:val="36"/>
          <w:szCs w:val="36"/>
          <w:lang w:val="en-US"/>
        </w:rPr>
        <w:t>R</w:t>
      </w:r>
      <w:r w:rsidR="007F79ED" w:rsidRPr="00F273A6">
        <w:rPr>
          <w:rFonts w:ascii="Arial" w:hAnsi="Arial" w:cs="Arial"/>
          <w:b/>
          <w:sz w:val="36"/>
          <w:szCs w:val="36"/>
          <w:lang w:val="en-US"/>
        </w:rPr>
        <w:t xml:space="preserve">edox speciation </w:t>
      </w:r>
      <w:r w:rsidRPr="00F273A6">
        <w:rPr>
          <w:rFonts w:ascii="Arial" w:hAnsi="Arial" w:cs="Arial"/>
          <w:b/>
          <w:sz w:val="36"/>
          <w:szCs w:val="36"/>
          <w:lang w:val="en-US"/>
        </w:rPr>
        <w:t xml:space="preserve">of </w:t>
      </w:r>
      <w:r>
        <w:rPr>
          <w:rFonts w:ascii="Arial" w:hAnsi="Arial" w:cs="Arial"/>
          <w:b/>
          <w:sz w:val="36"/>
          <w:szCs w:val="36"/>
          <w:lang w:val="en-US"/>
        </w:rPr>
        <w:t>c</w:t>
      </w:r>
      <w:r w:rsidRPr="00F273A6">
        <w:rPr>
          <w:rFonts w:ascii="Arial" w:hAnsi="Arial" w:cs="Arial"/>
          <w:b/>
          <w:sz w:val="36"/>
          <w:szCs w:val="36"/>
          <w:lang w:val="en-US"/>
        </w:rPr>
        <w:t xml:space="preserve">ontaminants </w:t>
      </w:r>
      <w:r w:rsidR="007F79ED" w:rsidRPr="00F273A6">
        <w:rPr>
          <w:rFonts w:ascii="Arial" w:hAnsi="Arial" w:cs="Arial"/>
          <w:b/>
          <w:sz w:val="36"/>
          <w:szCs w:val="36"/>
          <w:lang w:val="en-US"/>
        </w:rPr>
        <w:t>at magnetite surface</w:t>
      </w:r>
    </w:p>
    <w:p w:rsidR="00F273A6" w:rsidRPr="00786AC5" w:rsidRDefault="00F273A6" w:rsidP="00F273A6">
      <w:pPr>
        <w:jc w:val="center"/>
        <w:rPr>
          <w:rFonts w:ascii="Arial" w:hAnsi="Arial" w:cs="Arial"/>
          <w:bCs/>
          <w:sz w:val="28"/>
          <w:szCs w:val="28"/>
          <w:vertAlign w:val="superscript"/>
          <w:lang w:val="en-US"/>
        </w:rPr>
      </w:pPr>
      <w:r w:rsidRPr="00786AC5">
        <w:rPr>
          <w:rFonts w:ascii="Arial" w:hAnsi="Arial" w:cs="Arial"/>
          <w:bCs/>
          <w:sz w:val="28"/>
          <w:szCs w:val="28"/>
          <w:lang w:val="en-US"/>
        </w:rPr>
        <w:t>Rémi Marsac,</w:t>
      </w:r>
      <w:r w:rsidRPr="00786AC5">
        <w:rPr>
          <w:rFonts w:ascii="Arial" w:hAnsi="Arial" w:cs="Arial"/>
          <w:bCs/>
          <w:sz w:val="28"/>
          <w:szCs w:val="28"/>
          <w:vertAlign w:val="superscript"/>
          <w:lang w:val="en-US"/>
        </w:rPr>
        <w:t>1</w:t>
      </w:r>
      <w:r w:rsidRPr="00786AC5">
        <w:rPr>
          <w:rFonts w:ascii="Arial" w:hAnsi="Arial" w:cs="Arial"/>
          <w:bCs/>
          <w:sz w:val="28"/>
          <w:szCs w:val="28"/>
          <w:lang w:val="en-US"/>
        </w:rPr>
        <w:t xml:space="preserve"> </w:t>
      </w:r>
      <w:proofErr w:type="spellStart"/>
      <w:r w:rsidRPr="00786AC5">
        <w:rPr>
          <w:rFonts w:ascii="Arial" w:hAnsi="Arial" w:cs="Arial"/>
          <w:bCs/>
          <w:sz w:val="28"/>
          <w:szCs w:val="28"/>
          <w:lang w:val="en-US"/>
        </w:rPr>
        <w:t>Jaimy</w:t>
      </w:r>
      <w:proofErr w:type="spellEnd"/>
      <w:r w:rsidRPr="00786AC5">
        <w:rPr>
          <w:rFonts w:ascii="Arial" w:hAnsi="Arial" w:cs="Arial"/>
          <w:bCs/>
          <w:sz w:val="28"/>
          <w:szCs w:val="28"/>
          <w:lang w:val="en-US"/>
        </w:rPr>
        <w:t xml:space="preserve"> Scaria,</w:t>
      </w:r>
      <w:r w:rsidRPr="00786AC5">
        <w:rPr>
          <w:rFonts w:ascii="Arial" w:hAnsi="Arial" w:cs="Arial"/>
          <w:bCs/>
          <w:sz w:val="28"/>
          <w:szCs w:val="28"/>
          <w:vertAlign w:val="superscript"/>
          <w:lang w:val="en-US"/>
        </w:rPr>
        <w:t>2</w:t>
      </w:r>
      <w:r w:rsidRPr="00786AC5">
        <w:rPr>
          <w:rFonts w:ascii="Arial" w:hAnsi="Arial" w:cs="Arial"/>
          <w:bCs/>
          <w:sz w:val="28"/>
          <w:szCs w:val="28"/>
          <w:lang w:val="en-US"/>
        </w:rPr>
        <w:t xml:space="preserve"> Takumi Yomogida,</w:t>
      </w:r>
      <w:r w:rsidRPr="00786AC5">
        <w:rPr>
          <w:rFonts w:ascii="Arial" w:hAnsi="Arial" w:cs="Arial"/>
          <w:bCs/>
          <w:sz w:val="28"/>
          <w:szCs w:val="28"/>
          <w:vertAlign w:val="superscript"/>
          <w:lang w:val="en-US"/>
        </w:rPr>
        <w:t>3</w:t>
      </w:r>
      <w:r w:rsidRPr="00786AC5">
        <w:rPr>
          <w:rFonts w:ascii="Arial" w:hAnsi="Arial" w:cs="Arial"/>
          <w:bCs/>
          <w:sz w:val="28"/>
          <w:szCs w:val="28"/>
          <w:lang w:val="en-US"/>
        </w:rPr>
        <w:t xml:space="preserve"> Mathieu Pédrot,</w:t>
      </w:r>
      <w:r w:rsidRPr="00786AC5">
        <w:rPr>
          <w:rFonts w:ascii="Arial" w:hAnsi="Arial" w:cs="Arial"/>
          <w:bCs/>
          <w:sz w:val="28"/>
          <w:szCs w:val="28"/>
          <w:vertAlign w:val="superscript"/>
          <w:lang w:val="en-US"/>
        </w:rPr>
        <w:t>2</w:t>
      </w:r>
      <w:r w:rsidRPr="00786AC5">
        <w:rPr>
          <w:rFonts w:ascii="Arial" w:hAnsi="Arial" w:cs="Arial"/>
          <w:bCs/>
          <w:sz w:val="28"/>
          <w:szCs w:val="28"/>
          <w:lang w:val="en-US"/>
        </w:rPr>
        <w:t xml:space="preserve"> </w:t>
      </w:r>
      <w:proofErr w:type="spellStart"/>
      <w:r w:rsidRPr="00786AC5">
        <w:rPr>
          <w:rFonts w:ascii="Arial" w:hAnsi="Arial" w:cs="Arial"/>
          <w:bCs/>
          <w:sz w:val="28"/>
          <w:szCs w:val="28"/>
          <w:lang w:val="en-US"/>
        </w:rPr>
        <w:t>Fadi</w:t>
      </w:r>
      <w:proofErr w:type="spellEnd"/>
      <w:r w:rsidRPr="00786AC5">
        <w:rPr>
          <w:rFonts w:ascii="Arial" w:hAnsi="Arial" w:cs="Arial"/>
          <w:bCs/>
          <w:sz w:val="28"/>
          <w:szCs w:val="28"/>
          <w:lang w:val="en-US"/>
        </w:rPr>
        <w:t xml:space="preserve"> Choueikani</w:t>
      </w:r>
      <w:r w:rsidRPr="00786AC5">
        <w:rPr>
          <w:rFonts w:ascii="Arial" w:hAnsi="Arial" w:cs="Arial"/>
          <w:bCs/>
          <w:sz w:val="28"/>
          <w:szCs w:val="28"/>
          <w:vertAlign w:val="superscript"/>
          <w:lang w:val="en-US"/>
        </w:rPr>
        <w:t>4</w:t>
      </w:r>
      <w:r w:rsidRPr="00786AC5">
        <w:rPr>
          <w:rFonts w:ascii="Arial" w:hAnsi="Arial" w:cs="Arial"/>
          <w:bCs/>
          <w:sz w:val="28"/>
          <w:szCs w:val="28"/>
          <w:lang w:val="en-US"/>
        </w:rPr>
        <w:t xml:space="preserve"> </w:t>
      </w:r>
    </w:p>
    <w:p w:rsidR="00F273A6" w:rsidRPr="00F273A6" w:rsidRDefault="00F273A6" w:rsidP="00F273A6">
      <w:pPr>
        <w:spacing w:after="0" w:line="240" w:lineRule="auto"/>
        <w:jc w:val="center"/>
        <w:rPr>
          <w:rFonts w:ascii="Arial" w:eastAsiaTheme="minorEastAsia" w:hAnsi="Arial" w:cs="Arial"/>
          <w:bCs/>
          <w:i/>
          <w:iCs/>
          <w:kern w:val="24"/>
          <w:sz w:val="20"/>
          <w:szCs w:val="20"/>
        </w:rPr>
      </w:pPr>
      <w:r w:rsidRPr="00F273A6">
        <w:rPr>
          <w:rFonts w:ascii="Arial" w:eastAsiaTheme="minorEastAsia" w:hAnsi="Arial" w:cs="Arial"/>
          <w:i/>
          <w:iCs/>
          <w:kern w:val="24"/>
          <w:sz w:val="20"/>
          <w:szCs w:val="20"/>
          <w:vertAlign w:val="superscript"/>
        </w:rPr>
        <w:t>1</w:t>
      </w:r>
      <w:r w:rsidRPr="00F273A6">
        <w:rPr>
          <w:rFonts w:ascii="Arial" w:eastAsiaTheme="minorEastAsia" w:hAnsi="Arial" w:cs="Arial"/>
          <w:i/>
          <w:iCs/>
          <w:kern w:val="24"/>
          <w:sz w:val="20"/>
          <w:szCs w:val="20"/>
        </w:rPr>
        <w:t>Université Paris Cité, Institut de physique du globe de Paris, CNRS, F-75005 Paris, France ;</w:t>
      </w:r>
    </w:p>
    <w:p w:rsidR="00F273A6" w:rsidRPr="00F273A6" w:rsidRDefault="00F273A6" w:rsidP="00F273A6">
      <w:pPr>
        <w:spacing w:after="0" w:line="240" w:lineRule="auto"/>
        <w:jc w:val="center"/>
        <w:rPr>
          <w:rFonts w:ascii="Arial" w:eastAsiaTheme="minorEastAsia" w:hAnsi="Arial" w:cs="Arial"/>
          <w:i/>
          <w:iCs/>
          <w:kern w:val="24"/>
          <w:sz w:val="20"/>
          <w:szCs w:val="20"/>
        </w:rPr>
      </w:pPr>
      <w:r w:rsidRPr="00F273A6">
        <w:rPr>
          <w:rFonts w:ascii="Arial" w:eastAsiaTheme="minorEastAsia" w:hAnsi="Arial" w:cs="Arial"/>
          <w:i/>
          <w:iCs/>
          <w:kern w:val="24"/>
          <w:sz w:val="20"/>
          <w:szCs w:val="20"/>
          <w:vertAlign w:val="superscript"/>
        </w:rPr>
        <w:t>2</w:t>
      </w:r>
      <w:r w:rsidRPr="00F273A6">
        <w:rPr>
          <w:rFonts w:ascii="Arial" w:eastAsiaTheme="minorEastAsia" w:hAnsi="Arial" w:cs="Arial"/>
          <w:i/>
          <w:iCs/>
          <w:kern w:val="24"/>
          <w:sz w:val="20"/>
          <w:szCs w:val="20"/>
        </w:rPr>
        <w:t>Univ Rennes, CNRS, Géosciences Rennes – UMR 6118, F-35000 Rennes, France ;</w:t>
      </w:r>
    </w:p>
    <w:p w:rsidR="00F273A6" w:rsidRPr="00F273A6" w:rsidRDefault="00F273A6" w:rsidP="00F273A6">
      <w:pPr>
        <w:spacing w:after="0" w:line="240" w:lineRule="auto"/>
        <w:jc w:val="center"/>
        <w:rPr>
          <w:rFonts w:ascii="Arial" w:eastAsiaTheme="minorEastAsia" w:hAnsi="Arial" w:cs="Arial"/>
          <w:bCs/>
          <w:i/>
          <w:iCs/>
          <w:kern w:val="24"/>
          <w:sz w:val="20"/>
          <w:szCs w:val="20"/>
          <w:lang w:val="en-US"/>
        </w:rPr>
      </w:pPr>
      <w:r w:rsidRPr="00F273A6">
        <w:rPr>
          <w:rFonts w:ascii="Arial" w:eastAsiaTheme="minorEastAsia" w:hAnsi="Arial" w:cs="Arial"/>
          <w:bCs/>
          <w:i/>
          <w:iCs/>
          <w:kern w:val="24"/>
          <w:sz w:val="20"/>
          <w:szCs w:val="20"/>
          <w:vertAlign w:val="superscript"/>
          <w:lang w:val="en-US"/>
        </w:rPr>
        <w:t>3</w:t>
      </w:r>
      <w:r w:rsidRPr="00F273A6">
        <w:rPr>
          <w:rFonts w:ascii="Arial" w:eastAsiaTheme="minorEastAsia" w:hAnsi="Arial" w:cs="Arial"/>
          <w:bCs/>
          <w:i/>
          <w:iCs/>
          <w:kern w:val="24"/>
          <w:sz w:val="20"/>
          <w:szCs w:val="20"/>
          <w:lang w:val="en-US"/>
        </w:rPr>
        <w:t xml:space="preserve">Nuclear Safety Research Center, Japan Atomic Energy Agency, 2-4 </w:t>
      </w:r>
      <w:proofErr w:type="spellStart"/>
      <w:r w:rsidRPr="00F273A6">
        <w:rPr>
          <w:rFonts w:ascii="Arial" w:eastAsiaTheme="minorEastAsia" w:hAnsi="Arial" w:cs="Arial"/>
          <w:bCs/>
          <w:i/>
          <w:iCs/>
          <w:kern w:val="24"/>
          <w:sz w:val="20"/>
          <w:szCs w:val="20"/>
          <w:lang w:val="en-US"/>
        </w:rPr>
        <w:t>Shirakata</w:t>
      </w:r>
      <w:proofErr w:type="spellEnd"/>
      <w:r w:rsidRPr="00F273A6">
        <w:rPr>
          <w:rFonts w:ascii="Arial" w:eastAsiaTheme="minorEastAsia" w:hAnsi="Arial" w:cs="Arial"/>
          <w:bCs/>
          <w:i/>
          <w:iCs/>
          <w:kern w:val="24"/>
          <w:sz w:val="20"/>
          <w:szCs w:val="20"/>
          <w:lang w:val="en-US"/>
        </w:rPr>
        <w:t>, Naka, Tokai, Ibaraki, 319-1195, Japan</w:t>
      </w:r>
    </w:p>
    <w:p w:rsidR="0056608D" w:rsidRPr="00F273A6" w:rsidRDefault="00F273A6" w:rsidP="00F273A6">
      <w:pPr>
        <w:spacing w:after="0" w:line="240" w:lineRule="auto"/>
        <w:jc w:val="center"/>
        <w:rPr>
          <w:rFonts w:ascii="Arial" w:eastAsiaTheme="minorEastAsia" w:hAnsi="Arial" w:cs="Arial"/>
          <w:bCs/>
          <w:i/>
          <w:iCs/>
          <w:kern w:val="24"/>
          <w:sz w:val="20"/>
          <w:szCs w:val="20"/>
        </w:rPr>
      </w:pPr>
      <w:r w:rsidRPr="00F273A6">
        <w:rPr>
          <w:rFonts w:ascii="Arial" w:eastAsiaTheme="minorEastAsia" w:hAnsi="Arial" w:cs="Arial"/>
          <w:i/>
          <w:iCs/>
          <w:kern w:val="24"/>
          <w:sz w:val="20"/>
          <w:szCs w:val="20"/>
          <w:vertAlign w:val="superscript"/>
        </w:rPr>
        <w:t>4</w:t>
      </w:r>
      <w:r w:rsidRPr="00F273A6">
        <w:rPr>
          <w:rFonts w:ascii="Arial" w:eastAsiaTheme="minorEastAsia" w:hAnsi="Arial" w:cs="Arial"/>
          <w:i/>
          <w:iCs/>
          <w:kern w:val="24"/>
          <w:sz w:val="20"/>
          <w:szCs w:val="20"/>
        </w:rPr>
        <w:t xml:space="preserve">Synchrotron SOLEIL, L'Orme des Merisiers, Saint- Aubin BP48, 91192 Gif-sur- Yvette cedex, France </w:t>
      </w:r>
    </w:p>
    <w:p w:rsidR="00786AC5" w:rsidRPr="00786AC5" w:rsidRDefault="00786AC5" w:rsidP="00786AC5">
      <w:pPr>
        <w:pStyle w:val="NormalWeb"/>
        <w:jc w:val="center"/>
        <w:rPr>
          <w:rFonts w:ascii="Arial" w:hAnsi="Arial" w:cs="Arial"/>
          <w:b/>
          <w:bCs/>
          <w:caps/>
          <w:kern w:val="36"/>
          <w:sz w:val="22"/>
          <w:szCs w:val="22"/>
          <w:lang w:val="en-US"/>
        </w:rPr>
      </w:pPr>
      <w:r>
        <w:rPr>
          <w:rFonts w:ascii="Arial" w:hAnsi="Arial" w:cs="Arial"/>
          <w:b/>
          <w:bCs/>
          <w:caps/>
          <w:kern w:val="36"/>
          <w:sz w:val="22"/>
          <w:szCs w:val="22"/>
          <w:lang w:val="en-US"/>
        </w:rPr>
        <w:t>ABSTRACT</w:t>
      </w:r>
    </w:p>
    <w:p w:rsidR="00246C59" w:rsidRPr="00F273A6" w:rsidRDefault="00B126D4" w:rsidP="00246C59">
      <w:pPr>
        <w:pStyle w:val="NormalWeb"/>
        <w:jc w:val="both"/>
        <w:rPr>
          <w:rStyle w:val="lev"/>
          <w:rFonts w:ascii="Arial" w:hAnsi="Arial" w:cs="Arial"/>
          <w:b w:val="0"/>
          <w:lang w:val="en-US"/>
        </w:rPr>
      </w:pPr>
      <w:r w:rsidRPr="00F273A6">
        <w:rPr>
          <w:rFonts w:ascii="Arial" w:hAnsi="Arial" w:cs="Arial"/>
          <w:lang w:val="en-US"/>
        </w:rPr>
        <w:t>Magnetite (</w:t>
      </w:r>
      <w:proofErr w:type="spellStart"/>
      <w:r w:rsidRPr="00F273A6">
        <w:rPr>
          <w:rFonts w:ascii="Arial" w:hAnsi="Arial" w:cs="Arial"/>
          <w:lang w:val="en-US"/>
        </w:rPr>
        <w:t>Fe</w:t>
      </w:r>
      <w:r w:rsidRPr="00F273A6">
        <w:rPr>
          <w:rFonts w:ascii="Cambria Math" w:hAnsi="Cambria Math" w:cs="Cambria Math"/>
          <w:lang w:val="en-US"/>
        </w:rPr>
        <w:t>₃</w:t>
      </w:r>
      <w:r w:rsidRPr="00F273A6">
        <w:rPr>
          <w:rFonts w:ascii="Arial" w:hAnsi="Arial" w:cs="Arial"/>
          <w:lang w:val="en-US"/>
        </w:rPr>
        <w:t>O</w:t>
      </w:r>
      <w:proofErr w:type="spellEnd"/>
      <w:r w:rsidRPr="00F273A6">
        <w:rPr>
          <w:rFonts w:ascii="Cambria Math" w:hAnsi="Cambria Math" w:cs="Cambria Math"/>
          <w:lang w:val="en-US"/>
        </w:rPr>
        <w:t>₄</w:t>
      </w:r>
      <w:r w:rsidRPr="00F273A6">
        <w:rPr>
          <w:rFonts w:ascii="Arial" w:hAnsi="Arial" w:cs="Arial"/>
          <w:lang w:val="en-US"/>
        </w:rPr>
        <w:t>) is a mixed-valence iron oxide</w:t>
      </w:r>
      <w:r w:rsidR="000A1837" w:rsidRPr="00F273A6">
        <w:rPr>
          <w:rFonts w:ascii="Arial" w:hAnsi="Arial" w:cs="Arial"/>
          <w:lang w:val="en-US"/>
        </w:rPr>
        <w:t>,</w:t>
      </w:r>
      <w:r w:rsidRPr="00F273A6">
        <w:rPr>
          <w:rFonts w:ascii="Arial" w:hAnsi="Arial" w:cs="Arial"/>
          <w:lang w:val="en-US"/>
        </w:rPr>
        <w:t xml:space="preserve"> with a </w:t>
      </w:r>
      <w:r w:rsidRPr="00F273A6">
        <w:rPr>
          <w:rStyle w:val="lev"/>
          <w:rFonts w:ascii="Arial" w:hAnsi="Arial" w:cs="Arial"/>
          <w:b w:val="0"/>
          <w:lang w:val="en-US"/>
        </w:rPr>
        <w:t>Fe(II)/Fe(III) ratio (0 ≤ R ≤ 0.5)</w:t>
      </w:r>
      <w:r w:rsidRPr="00F273A6">
        <w:rPr>
          <w:rFonts w:ascii="Arial" w:hAnsi="Arial" w:cs="Arial"/>
          <w:lang w:val="en-US"/>
        </w:rPr>
        <w:t xml:space="preserve"> that critically controls its </w:t>
      </w:r>
      <w:r w:rsidRPr="00F273A6">
        <w:rPr>
          <w:rStyle w:val="lev"/>
          <w:rFonts w:ascii="Arial" w:hAnsi="Arial" w:cs="Arial"/>
          <w:b w:val="0"/>
          <w:lang w:val="en-US"/>
        </w:rPr>
        <w:t xml:space="preserve">redox </w:t>
      </w:r>
      <w:r w:rsidRPr="00F273A6">
        <w:rPr>
          <w:rFonts w:ascii="Arial" w:hAnsi="Arial" w:cs="Arial"/>
          <w:lang w:val="en-US"/>
        </w:rPr>
        <w:t xml:space="preserve">reactivity toward trace metals. </w:t>
      </w:r>
      <w:r w:rsidR="00C85EB0" w:rsidRPr="00F273A6">
        <w:rPr>
          <w:rFonts w:ascii="Arial" w:hAnsi="Arial" w:cs="Arial"/>
          <w:lang w:val="en-US"/>
        </w:rPr>
        <w:t>While large magnetite particles are thought highly stable, their stoichiometry (R) are largely affected by pH and redox potential (Eh)</w:t>
      </w:r>
      <w:r w:rsidR="004F7453">
        <w:rPr>
          <w:rFonts w:ascii="Arial" w:hAnsi="Arial" w:cs="Arial"/>
          <w:lang w:val="en-US"/>
        </w:rPr>
        <w:t xml:space="preserve"> </w:t>
      </w:r>
      <w:r w:rsidR="004F7453" w:rsidRPr="00F273A6">
        <w:rPr>
          <w:rFonts w:ascii="Arial" w:hAnsi="Arial" w:cs="Arial"/>
          <w:lang w:val="en-US"/>
        </w:rPr>
        <w:t>at the nanoscale</w:t>
      </w:r>
      <w:r w:rsidR="00C85EB0" w:rsidRPr="00F273A6">
        <w:rPr>
          <w:rFonts w:ascii="Arial" w:hAnsi="Arial" w:cs="Arial"/>
          <w:lang w:val="en-US"/>
        </w:rPr>
        <w:t xml:space="preserve">. For instance, </w:t>
      </w:r>
      <w:r w:rsidRPr="00F273A6">
        <w:rPr>
          <w:rStyle w:val="lev"/>
          <w:rFonts w:ascii="Arial" w:hAnsi="Arial" w:cs="Arial"/>
          <w:b w:val="0"/>
          <w:lang w:val="en-US"/>
        </w:rPr>
        <w:t xml:space="preserve">XMCD </w:t>
      </w:r>
      <w:r w:rsidR="00C85EB0" w:rsidRPr="00F273A6">
        <w:rPr>
          <w:rStyle w:val="lev"/>
          <w:rFonts w:ascii="Arial" w:hAnsi="Arial" w:cs="Arial"/>
          <w:b w:val="0"/>
          <w:lang w:val="en-US"/>
        </w:rPr>
        <w:t>at the L</w:t>
      </w:r>
      <w:r w:rsidR="00C85EB0" w:rsidRPr="00F273A6">
        <w:rPr>
          <w:rStyle w:val="lev"/>
          <w:rFonts w:ascii="Arial" w:hAnsi="Arial" w:cs="Arial"/>
          <w:b w:val="0"/>
          <w:vertAlign w:val="subscript"/>
          <w:lang w:val="en-US"/>
        </w:rPr>
        <w:t>2,3</w:t>
      </w:r>
      <w:r w:rsidR="00C85EB0" w:rsidRPr="00F273A6">
        <w:rPr>
          <w:rStyle w:val="lev"/>
          <w:rFonts w:ascii="Arial" w:hAnsi="Arial" w:cs="Arial"/>
          <w:b w:val="0"/>
          <w:lang w:val="en-US"/>
        </w:rPr>
        <w:t xml:space="preserve">-edge </w:t>
      </w:r>
      <w:r w:rsidRPr="00F273A6">
        <w:rPr>
          <w:rStyle w:val="lev"/>
          <w:rFonts w:ascii="Arial" w:hAnsi="Arial" w:cs="Arial"/>
          <w:b w:val="0"/>
          <w:lang w:val="en-US"/>
        </w:rPr>
        <w:t>and wet chemistry</w:t>
      </w:r>
      <w:r w:rsidRPr="00F273A6">
        <w:rPr>
          <w:rFonts w:ascii="Arial" w:hAnsi="Arial" w:cs="Arial"/>
          <w:lang w:val="en-US"/>
        </w:rPr>
        <w:t xml:space="preserve"> showed that </w:t>
      </w:r>
      <w:r w:rsidRPr="00F273A6">
        <w:rPr>
          <w:rStyle w:val="lev"/>
          <w:rFonts w:ascii="Arial" w:hAnsi="Arial" w:cs="Arial"/>
          <w:b w:val="0"/>
          <w:lang w:val="en-US"/>
        </w:rPr>
        <w:t xml:space="preserve">10 nm magnetite nanoparticles </w:t>
      </w:r>
      <w:r w:rsidR="00C85EB0" w:rsidRPr="00F273A6">
        <w:rPr>
          <w:rStyle w:val="lev"/>
          <w:rFonts w:ascii="Arial" w:hAnsi="Arial" w:cs="Arial"/>
          <w:b w:val="0"/>
          <w:lang w:val="en-US"/>
        </w:rPr>
        <w:t>are not only sensitive to oxidant like O</w:t>
      </w:r>
      <w:r w:rsidR="00C85EB0" w:rsidRPr="00F273A6">
        <w:rPr>
          <w:rStyle w:val="lev"/>
          <w:rFonts w:ascii="Arial" w:hAnsi="Arial" w:cs="Arial"/>
          <w:b w:val="0"/>
          <w:vertAlign w:val="subscript"/>
          <w:lang w:val="en-US"/>
        </w:rPr>
        <w:t>2</w:t>
      </w:r>
      <w:r w:rsidR="00C85EB0" w:rsidRPr="00F273A6">
        <w:rPr>
          <w:rStyle w:val="lev"/>
          <w:rFonts w:ascii="Arial" w:hAnsi="Arial" w:cs="Arial"/>
          <w:b w:val="0"/>
          <w:lang w:val="en-US"/>
        </w:rPr>
        <w:t xml:space="preserve"> or H</w:t>
      </w:r>
      <w:r w:rsidR="00C85EB0" w:rsidRPr="00F273A6">
        <w:rPr>
          <w:rStyle w:val="lev"/>
          <w:rFonts w:ascii="Arial" w:hAnsi="Arial" w:cs="Arial"/>
          <w:b w:val="0"/>
          <w:vertAlign w:val="subscript"/>
          <w:lang w:val="en-US"/>
        </w:rPr>
        <w:t>2</w:t>
      </w:r>
      <w:r w:rsidR="00C85EB0" w:rsidRPr="00F273A6">
        <w:rPr>
          <w:rStyle w:val="lev"/>
          <w:rFonts w:ascii="Arial" w:hAnsi="Arial" w:cs="Arial"/>
          <w:b w:val="0"/>
          <w:lang w:val="en-US"/>
        </w:rPr>
        <w:t>O</w:t>
      </w:r>
      <w:r w:rsidR="00C85EB0" w:rsidRPr="00F273A6">
        <w:rPr>
          <w:rStyle w:val="lev"/>
          <w:rFonts w:ascii="Arial" w:hAnsi="Arial" w:cs="Arial"/>
          <w:b w:val="0"/>
          <w:vertAlign w:val="subscript"/>
          <w:lang w:val="en-US"/>
        </w:rPr>
        <w:t>2</w:t>
      </w:r>
      <w:r w:rsidR="00C85EB0" w:rsidRPr="00F273A6">
        <w:rPr>
          <w:rStyle w:val="lev"/>
          <w:rFonts w:ascii="Arial" w:hAnsi="Arial" w:cs="Arial"/>
          <w:b w:val="0"/>
          <w:lang w:val="en-US"/>
        </w:rPr>
        <w:t xml:space="preserve"> but </w:t>
      </w:r>
      <w:r w:rsidR="004F7453">
        <w:rPr>
          <w:rStyle w:val="lev"/>
          <w:rFonts w:ascii="Arial" w:hAnsi="Arial" w:cs="Arial"/>
          <w:b w:val="0"/>
          <w:lang w:val="en-US"/>
        </w:rPr>
        <w:t>they</w:t>
      </w:r>
      <w:r w:rsidRPr="00F273A6">
        <w:rPr>
          <w:rFonts w:ascii="Arial" w:hAnsi="Arial" w:cs="Arial"/>
          <w:lang w:val="en-US"/>
        </w:rPr>
        <w:t xml:space="preserve"> releas</w:t>
      </w:r>
      <w:r w:rsidR="00C85EB0" w:rsidRPr="00F273A6">
        <w:rPr>
          <w:rFonts w:ascii="Arial" w:hAnsi="Arial" w:cs="Arial"/>
          <w:lang w:val="en-US"/>
        </w:rPr>
        <w:t>e</w:t>
      </w:r>
      <w:r w:rsidRPr="00F273A6">
        <w:rPr>
          <w:rFonts w:ascii="Arial" w:hAnsi="Arial" w:cs="Arial"/>
          <w:lang w:val="en-US"/>
        </w:rPr>
        <w:t xml:space="preserve"> Fe(II) </w:t>
      </w:r>
      <w:r w:rsidR="00C85EB0" w:rsidRPr="00F273A6">
        <w:rPr>
          <w:rFonts w:ascii="Arial" w:hAnsi="Arial" w:cs="Arial"/>
          <w:lang w:val="en-US"/>
        </w:rPr>
        <w:t xml:space="preserve">in solution at </w:t>
      </w:r>
      <w:r w:rsidR="00C85EB0" w:rsidRPr="00F273A6">
        <w:rPr>
          <w:rStyle w:val="lev"/>
          <w:rFonts w:ascii="Arial" w:hAnsi="Arial" w:cs="Arial"/>
          <w:b w:val="0"/>
          <w:lang w:val="en-US"/>
        </w:rPr>
        <w:t>pH &lt; 7</w:t>
      </w:r>
      <w:r w:rsidRPr="00F273A6">
        <w:rPr>
          <w:rFonts w:ascii="Arial" w:hAnsi="Arial" w:cs="Arial"/>
          <w:lang w:val="en-US"/>
        </w:rPr>
        <w:t>.</w:t>
      </w:r>
      <w:r w:rsidR="00C85EB0" w:rsidRPr="00F273A6">
        <w:rPr>
          <w:rFonts w:ascii="Arial" w:hAnsi="Arial" w:cs="Arial"/>
          <w:lang w:val="en-US"/>
        </w:rPr>
        <w:fldChar w:fldCharType="begin"/>
      </w:r>
      <w:r w:rsidR="00C85EB0" w:rsidRPr="00F273A6">
        <w:rPr>
          <w:rFonts w:ascii="Arial" w:hAnsi="Arial" w:cs="Arial"/>
          <w:lang w:val="en-US"/>
        </w:rPr>
        <w:instrText xml:space="preserve"> ADDIN ZOTERO_ITEM CSL_CITATION {"citationID":"xsld5tLW","properties":{"unsorted":false,"formattedCitation":"\\super 1\\nosupersub{}","plainCitation":"1","noteIndex":0},"citationItems":[{"id":2822,"uris":["http://zotero.org/users/13703899/items/Y6KEVHJM"],"itemData":{"id":2822,"type":"article-journal","abstract":"Magnetite (Fe(III)2Fe(II)O4) nanoparticles are fascinating nanoparticulate minerals due to their electronic, magnetic and chemical properties. Ubiquitous in the environment, they are also among the most used ferromagnetic nanomaterials in environmental, industrial and biomedical applications. Their intriguing structural and reactivity features do not only arise from the “nano-effect” but also from the occurrence of Fe2+ ions in their structure. Previous studies showed that partial oxidation of (nano)magnetite may occur. However, such transformations were only monitored under either oxidizing or very acidic conditions. Here, we report that 10 nm-sized stoichiometric magnetite particles (Fe(II)/Fe(III) = 0.5) are in fact not stable in aqueous solutions over a biologically and environmentally relevant pH range (4–7). In the absence of O2, an H+-promoted dissolution process is responsible for the preferential release of Fe(II) into solution, which leads to partial oxidation of magnetite to a magnetite–maghemite solid solution. Long-term kinetic investigations combined with XMCD measurements reveal that the dynamic exchange of Fe(II) between the surface and the solution is key to determining the magnetite stoichiometry even at circumneutral pH. Based on this finding, we developed a thermodynamic model for the magnetite–maghemite solid solution able to predict the chemical stability of the 10 nm-sized magnetite. This model enables the behavior and transformation of magnetite nanoparticles in aqueous solutions to be rationalized and predicted, which is crucial for a broad range of applications (medicine, biology, chemistry, environment, etc.).","container-title":"Environmental Science: Nano","DOI":"10.1039/D2EN00112H","ISSN":"2051-8161","issue":"7","journalAbbreviation":"Environ. Sci.: Nano","language":"en","page":"2363-2371","publisher":"The Royal Society of Chemistry","source":"pubs.rsc.org","title":"Prediction of nanomagnetite stoichiometry (Fe(II)/Fe(III)) under contrasting pH and redox conditions","volume":"9","author":[{"family":"Jungcharoen","given":"Phoomipat"},{"family":"Pédrot","given":"Mathieu"},{"family":"Heberling","given":"Frank"},{"family":"Hanna","given":"Khalil"},{"family":"Choueikani","given":"Fadi"},{"family":"Catrouillet","given":"Charlotte"},{"family":"Dia","given":"Aline"},{"family":"Marsac","given":"Rémi"}],"issued":{"date-parts":[["2022",7,14]]}}}],"schema":"https://github.com/citation-style-language/schema/raw/master/csl-citation.json"} </w:instrText>
      </w:r>
      <w:r w:rsidR="00C85EB0" w:rsidRPr="00F273A6">
        <w:rPr>
          <w:rFonts w:ascii="Arial" w:hAnsi="Arial" w:cs="Arial"/>
          <w:lang w:val="en-US"/>
        </w:rPr>
        <w:fldChar w:fldCharType="separate"/>
      </w:r>
      <w:r w:rsidR="00F273A6" w:rsidRPr="00F273A6">
        <w:rPr>
          <w:rFonts w:ascii="Arial" w:hAnsi="Arial" w:cs="Arial"/>
          <w:vertAlign w:val="superscript"/>
          <w:lang w:val="en-US"/>
        </w:rPr>
        <w:t>1</w:t>
      </w:r>
      <w:r w:rsidR="00C85EB0" w:rsidRPr="00F273A6">
        <w:rPr>
          <w:rFonts w:ascii="Arial" w:hAnsi="Arial" w:cs="Arial"/>
          <w:lang w:val="en-US"/>
        </w:rPr>
        <w:fldChar w:fldCharType="end"/>
      </w:r>
      <w:r w:rsidRPr="00F273A6">
        <w:rPr>
          <w:rFonts w:ascii="Arial" w:hAnsi="Arial" w:cs="Arial"/>
          <w:lang w:val="en-US"/>
        </w:rPr>
        <w:t xml:space="preserve"> A </w:t>
      </w:r>
      <w:r w:rsidRPr="00F273A6">
        <w:rPr>
          <w:rStyle w:val="lev"/>
          <w:rFonts w:ascii="Arial" w:hAnsi="Arial" w:cs="Arial"/>
          <w:b w:val="0"/>
          <w:lang w:val="en-US"/>
        </w:rPr>
        <w:t>thermodynamic model</w:t>
      </w:r>
      <w:r w:rsidRPr="00F273A6">
        <w:rPr>
          <w:rFonts w:ascii="Arial" w:hAnsi="Arial" w:cs="Arial"/>
          <w:lang w:val="en-US"/>
        </w:rPr>
        <w:t xml:space="preserve"> was developed to predict</w:t>
      </w:r>
      <w:r w:rsidR="00C85EB0" w:rsidRPr="00F273A6">
        <w:rPr>
          <w:rFonts w:ascii="Arial" w:hAnsi="Arial" w:cs="Arial"/>
          <w:lang w:val="en-US"/>
        </w:rPr>
        <w:t xml:space="preserve"> effective</w:t>
      </w:r>
      <w:r w:rsidRPr="00F273A6">
        <w:rPr>
          <w:rFonts w:ascii="Arial" w:hAnsi="Arial" w:cs="Arial"/>
          <w:lang w:val="en-US"/>
        </w:rPr>
        <w:t xml:space="preserve"> </w:t>
      </w:r>
      <w:r w:rsidRPr="00F273A6">
        <w:rPr>
          <w:rStyle w:val="lev"/>
          <w:rFonts w:ascii="Arial" w:hAnsi="Arial" w:cs="Arial"/>
          <w:b w:val="0"/>
          <w:lang w:val="en-US"/>
        </w:rPr>
        <w:t>R</w:t>
      </w:r>
      <w:r w:rsidR="00F273A6">
        <w:rPr>
          <w:rStyle w:val="lev"/>
          <w:rFonts w:ascii="Arial" w:hAnsi="Arial" w:cs="Arial"/>
          <w:b w:val="0"/>
          <w:lang w:val="en-US"/>
        </w:rPr>
        <w:t xml:space="preserve"> and redox potential (Eh)</w:t>
      </w:r>
      <w:r w:rsidRPr="00F273A6">
        <w:rPr>
          <w:rStyle w:val="lev"/>
          <w:rFonts w:ascii="Arial" w:hAnsi="Arial" w:cs="Arial"/>
          <w:b w:val="0"/>
          <w:lang w:val="en-US"/>
        </w:rPr>
        <w:t xml:space="preserve"> as a function of </w:t>
      </w:r>
      <w:r w:rsidR="00C85EB0" w:rsidRPr="00F273A6">
        <w:rPr>
          <w:rStyle w:val="lev"/>
          <w:rFonts w:ascii="Arial" w:hAnsi="Arial" w:cs="Arial"/>
          <w:b w:val="0"/>
          <w:lang w:val="en-US"/>
        </w:rPr>
        <w:t xml:space="preserve">initial R and </w:t>
      </w:r>
      <w:proofErr w:type="spellStart"/>
      <w:r w:rsidRPr="00F273A6">
        <w:rPr>
          <w:rStyle w:val="lev"/>
          <w:rFonts w:ascii="Arial" w:hAnsi="Arial" w:cs="Arial"/>
          <w:b w:val="0"/>
          <w:lang w:val="en-US"/>
        </w:rPr>
        <w:t>pH</w:t>
      </w:r>
      <w:r w:rsidR="00C85EB0" w:rsidRPr="00F273A6">
        <w:rPr>
          <w:rStyle w:val="lev"/>
          <w:rFonts w:ascii="Arial" w:hAnsi="Arial" w:cs="Arial"/>
          <w:b w:val="0"/>
          <w:lang w:val="en-US"/>
        </w:rPr>
        <w:t>.</w:t>
      </w:r>
      <w:proofErr w:type="spellEnd"/>
      <w:r w:rsidR="00C85EB0" w:rsidRPr="00F273A6">
        <w:rPr>
          <w:rStyle w:val="lev"/>
          <w:rFonts w:ascii="Arial" w:hAnsi="Arial" w:cs="Arial"/>
          <w:b w:val="0"/>
          <w:lang w:val="en-US"/>
        </w:rPr>
        <w:t xml:space="preserve"> </w:t>
      </w:r>
      <w:r w:rsidR="00246C59" w:rsidRPr="00F273A6">
        <w:rPr>
          <w:rStyle w:val="lev"/>
          <w:rFonts w:ascii="Arial" w:hAnsi="Arial" w:cs="Arial"/>
          <w:b w:val="0"/>
          <w:lang w:val="en-US"/>
        </w:rPr>
        <w:t xml:space="preserve">Hence, </w:t>
      </w:r>
      <w:proofErr w:type="spellStart"/>
      <w:r w:rsidR="007F79ED" w:rsidRPr="00F273A6">
        <w:rPr>
          <w:rStyle w:val="lev"/>
          <w:rFonts w:ascii="Arial" w:hAnsi="Arial" w:cs="Arial"/>
          <w:b w:val="0"/>
          <w:lang w:val="en-US"/>
        </w:rPr>
        <w:t>nanomagnetites</w:t>
      </w:r>
      <w:proofErr w:type="spellEnd"/>
      <w:r w:rsidR="007F79ED" w:rsidRPr="00F273A6">
        <w:rPr>
          <w:rStyle w:val="lev"/>
          <w:rFonts w:ascii="Arial" w:hAnsi="Arial" w:cs="Arial"/>
          <w:b w:val="0"/>
          <w:lang w:val="en-US"/>
        </w:rPr>
        <w:t xml:space="preserve"> are particularly interesting model colloids to investigate </w:t>
      </w:r>
      <w:r w:rsidR="00246C59" w:rsidRPr="00F273A6">
        <w:rPr>
          <w:rStyle w:val="lev"/>
          <w:rFonts w:ascii="Arial" w:hAnsi="Arial" w:cs="Arial"/>
          <w:b w:val="0"/>
          <w:lang w:val="en-US"/>
        </w:rPr>
        <w:t xml:space="preserve">contaminants (e.g. Cr(III/VI), Cu(II/I/0) or U(IV/V/VI)) </w:t>
      </w:r>
      <w:r w:rsidR="007F79ED" w:rsidRPr="00F273A6">
        <w:rPr>
          <w:rStyle w:val="lev"/>
          <w:rFonts w:ascii="Arial" w:hAnsi="Arial" w:cs="Arial"/>
          <w:b w:val="0"/>
          <w:lang w:val="en-US"/>
        </w:rPr>
        <w:t xml:space="preserve">redox behavior </w:t>
      </w:r>
      <w:r w:rsidR="00637666" w:rsidRPr="00F273A6">
        <w:rPr>
          <w:rStyle w:val="lev"/>
          <w:rFonts w:ascii="Arial" w:hAnsi="Arial" w:cs="Arial"/>
          <w:b w:val="0"/>
          <w:lang w:val="en-US"/>
        </w:rPr>
        <w:t xml:space="preserve">by XAS </w:t>
      </w:r>
      <w:r w:rsidR="00246C59" w:rsidRPr="00F273A6">
        <w:rPr>
          <w:rStyle w:val="lev"/>
          <w:rFonts w:ascii="Arial" w:hAnsi="Arial" w:cs="Arial"/>
          <w:b w:val="0"/>
          <w:lang w:val="en-US"/>
        </w:rPr>
        <w:t>under controlled pH and Eh conditions</w:t>
      </w:r>
      <w:r w:rsidR="007F79ED" w:rsidRPr="00F273A6">
        <w:rPr>
          <w:rStyle w:val="lev"/>
          <w:rFonts w:ascii="Arial" w:hAnsi="Arial" w:cs="Arial"/>
          <w:b w:val="0"/>
          <w:lang w:val="en-US"/>
        </w:rPr>
        <w:t>, in order to develop and calibrate predictive models of contaminants speciation in the environment.</w:t>
      </w:r>
      <w:r w:rsidR="00246C59" w:rsidRPr="00F273A6">
        <w:rPr>
          <w:rStyle w:val="lev"/>
          <w:rFonts w:ascii="Arial" w:hAnsi="Arial" w:cs="Arial"/>
          <w:b w:val="0"/>
          <w:lang w:val="en-US"/>
        </w:rPr>
        <w:t xml:space="preserve">  </w:t>
      </w:r>
    </w:p>
    <w:p w:rsidR="00637666" w:rsidRPr="00F273A6" w:rsidRDefault="000A1837" w:rsidP="00246C59">
      <w:pPr>
        <w:pStyle w:val="NormalWeb"/>
        <w:jc w:val="both"/>
        <w:rPr>
          <w:rStyle w:val="lev"/>
          <w:rFonts w:ascii="Arial" w:hAnsi="Arial" w:cs="Arial"/>
          <w:b w:val="0"/>
          <w:lang w:val="en-US"/>
        </w:rPr>
      </w:pPr>
      <w:r w:rsidRPr="00F273A6">
        <w:rPr>
          <w:rFonts w:ascii="Arial" w:hAnsi="Arial" w:cs="Arial"/>
          <w:lang w:val="en-US"/>
        </w:rPr>
        <w:t xml:space="preserve">The </w:t>
      </w:r>
      <w:r w:rsidR="00D037C4" w:rsidRPr="00F273A6">
        <w:rPr>
          <w:rFonts w:ascii="Arial" w:hAnsi="Arial" w:cs="Arial"/>
          <w:lang w:val="en-US"/>
        </w:rPr>
        <w:t>Cr case is simple</w:t>
      </w:r>
      <w:r w:rsidR="004F7453">
        <w:rPr>
          <w:rFonts w:ascii="Arial" w:hAnsi="Arial" w:cs="Arial"/>
          <w:lang w:val="en-US"/>
        </w:rPr>
        <w:t>,</w:t>
      </w:r>
      <w:r w:rsidR="00D037C4" w:rsidRPr="00F273A6">
        <w:rPr>
          <w:rFonts w:ascii="Arial" w:hAnsi="Arial" w:cs="Arial"/>
          <w:lang w:val="en-US"/>
        </w:rPr>
        <w:t xml:space="preserve"> as </w:t>
      </w:r>
      <w:r w:rsidRPr="00F273A6">
        <w:rPr>
          <w:rFonts w:ascii="Arial" w:hAnsi="Arial" w:cs="Arial"/>
          <w:lang w:val="en-US"/>
        </w:rPr>
        <w:t>Cr(III) prevails at magnetite surface for 0.1 ≤ R ≤ 0.5, as shown by Cr L</w:t>
      </w:r>
      <w:r w:rsidRPr="00F273A6">
        <w:rPr>
          <w:rFonts w:ascii="Arial" w:hAnsi="Arial" w:cs="Arial"/>
          <w:vertAlign w:val="subscript"/>
          <w:lang w:val="en-US"/>
        </w:rPr>
        <w:t>3</w:t>
      </w:r>
      <w:r w:rsidRPr="00F273A6">
        <w:rPr>
          <w:rFonts w:ascii="Arial" w:hAnsi="Arial" w:cs="Arial"/>
          <w:lang w:val="en-US"/>
        </w:rPr>
        <w:t xml:space="preserve">-edge </w:t>
      </w:r>
      <w:r w:rsidR="00B126D4" w:rsidRPr="00F273A6">
        <w:rPr>
          <w:rStyle w:val="lev"/>
          <w:rFonts w:ascii="Arial" w:hAnsi="Arial" w:cs="Arial"/>
          <w:b w:val="0"/>
          <w:lang w:val="en-US"/>
        </w:rPr>
        <w:t>XA</w:t>
      </w:r>
      <w:r w:rsidRPr="00F273A6">
        <w:rPr>
          <w:rStyle w:val="lev"/>
          <w:rFonts w:ascii="Arial" w:hAnsi="Arial" w:cs="Arial"/>
          <w:b w:val="0"/>
          <w:lang w:val="en-US"/>
        </w:rPr>
        <w:t xml:space="preserve">S at LUCIA beamline (SOLEIL), </w:t>
      </w:r>
      <w:r w:rsidR="00637666" w:rsidRPr="00F273A6">
        <w:rPr>
          <w:rStyle w:val="lev"/>
          <w:rFonts w:ascii="Arial" w:hAnsi="Arial" w:cs="Arial"/>
          <w:b w:val="0"/>
          <w:lang w:val="en-US"/>
        </w:rPr>
        <w:t xml:space="preserve">and </w:t>
      </w:r>
      <w:r w:rsidRPr="00F273A6">
        <w:rPr>
          <w:rStyle w:val="lev"/>
          <w:rFonts w:ascii="Arial" w:hAnsi="Arial" w:cs="Arial"/>
          <w:b w:val="0"/>
          <w:lang w:val="en-US"/>
        </w:rPr>
        <w:t>as expected</w:t>
      </w:r>
      <w:r w:rsidR="004F7453">
        <w:rPr>
          <w:rStyle w:val="lev"/>
          <w:rFonts w:ascii="Arial" w:hAnsi="Arial" w:cs="Arial"/>
          <w:b w:val="0"/>
          <w:lang w:val="en-US"/>
        </w:rPr>
        <w:t xml:space="preserve"> by modeling</w:t>
      </w:r>
      <w:r w:rsidRPr="00F273A6">
        <w:rPr>
          <w:rStyle w:val="lev"/>
          <w:rFonts w:ascii="Arial" w:hAnsi="Arial" w:cs="Arial"/>
          <w:b w:val="0"/>
          <w:lang w:val="en-US"/>
        </w:rPr>
        <w:t>.</w:t>
      </w:r>
      <w:r w:rsidRPr="00F273A6">
        <w:rPr>
          <w:rStyle w:val="lev"/>
          <w:rFonts w:ascii="Arial" w:hAnsi="Arial" w:cs="Arial"/>
          <w:b w:val="0"/>
          <w:lang w:val="en-US"/>
        </w:rPr>
        <w:fldChar w:fldCharType="begin"/>
      </w:r>
      <w:r w:rsidRPr="00F273A6">
        <w:rPr>
          <w:rStyle w:val="lev"/>
          <w:rFonts w:ascii="Arial" w:hAnsi="Arial" w:cs="Arial"/>
          <w:b w:val="0"/>
          <w:lang w:val="en-US"/>
        </w:rPr>
        <w:instrText xml:space="preserve"> ADDIN ZOTERO_ITEM CSL_CITATION {"citationID":"37sdhLkL","properties":{"unsorted":false,"formattedCitation":"\\super 2\\nosupersub{}","plainCitation":"2","noteIndex":0},"citationItems":[{"id":3221,"uris":["http://zotero.org/users/13703899/items/ZBII624H"],"itemData":{"id":3221,"type":"article-journal","abstract":"While the elimination of the most toxic form of chromium (Cr(VI)) by its reduction to Cr(III) at the magnetite (Fe3O4) surface has widely been documented, elucidating the exact mechanism involved in Cr(III) sorption to magnetite has attracted less attention. Indeed, magnetite stoichiometry (R = Fe(II)/Fe(III)) is rarely controlled or monitored in Cr-magnetite interaction studies, although it was shown to affect not only redox transformation but also adsorption mechanisms of several contaminants. This study examined the interaction of 20 μM (</w:instrText>
      </w:r>
      <w:r w:rsidRPr="00F273A6">
        <w:rPr>
          <w:rStyle w:val="lev"/>
          <w:rFonts w:ascii="Cambria Math" w:hAnsi="Cambria Math" w:cs="Cambria Math"/>
          <w:b w:val="0"/>
          <w:lang w:val="en-US"/>
        </w:rPr>
        <w:instrText>∼</w:instrText>
      </w:r>
      <w:r w:rsidRPr="00F273A6">
        <w:rPr>
          <w:rStyle w:val="lev"/>
          <w:rFonts w:ascii="Arial" w:hAnsi="Arial" w:cs="Arial"/>
          <w:b w:val="0"/>
          <w:lang w:val="en-US"/>
        </w:rPr>
        <w:instrText xml:space="preserve">1 mg L–1) Cr(III) with 10 nm magnetites, whose stoichiometries were carefully defined (0.1 ≤ R ≤ 0.5) and preserved under anaerobic conditions in 10 mM NaCl. X-ray absorption spectroscopy showed the formation of a tridentate trinuclear inner-sphere surface complex, but it occurred only on oxidized magnetite (R0.1) or on stoichiometric magnetite (R0.5) under acidic conditions, where H+-promoted dissolution generated an Fe(II)-depleted surface. When magnetite stoichiometry increased, Cr surface speciation evolved in favor of a [Fe2+Crx3+Fe3+ 1–x]OhFeTd3+O4-like solid solution in which Cr(III) partially substitutes Fe(III) in octahedral sites. This study reveals the joint effects of pH and magnetite stoichiometry on the Cr(III) sorption mechanism, demonstrating that Cr(III)-(hydr)oxide precipitation is not necessarily the driving process of Cr(III) elimination from solutions. These results will help predict the fate and transport of chromium as well as develop magnetite-based chromium remediation processes.","container-title":"Environmental Science &amp; Technology","DOI":"10.1021/acs.est.4c12899","ISSN":"0013-936X","issue":"11","journalAbbreviation":"Environ. Sci. Technol.","page":"5747-5755","publisher":"American Chemical Society","source":"ACS Publications","title":"Magnetite Stoichiometry (Fe(II)/Fe(III)) Controls on Trivalent Chromium Surface Speciation","volume":"59","author":[{"family":"Scaria","given":"Jaimy"},{"family":"Pédrot","given":"Mathieu"},{"family":"Fablet","given":"Laura"},{"family":"Yomogida","given":"Takumi"},{"family":"Nguyen","given":"Thi Tuyen"},{"family":"Sivry","given":"Yann"},{"family":"Catrouillet","given":"Charlotte"},{"family":"Pradas Del Real","given":"Ana E."},{"family":"Choueikani","given":"Fadi"},{"family":"Vantelon","given":"Delphine"},{"family":"Dia","given":"Aline"},{"family":"Groleau","given":"Alexis"},{"family":"Marsac","given":"Rémi"}],"issued":{"date-parts":[["2025",3,25]]}}}],"schema":"https://github.com/citation-style-language/schema/raw/master/csl-citation.json"} </w:instrText>
      </w:r>
      <w:r w:rsidRPr="00F273A6">
        <w:rPr>
          <w:rStyle w:val="lev"/>
          <w:rFonts w:ascii="Arial" w:hAnsi="Arial" w:cs="Arial"/>
          <w:b w:val="0"/>
          <w:lang w:val="en-US"/>
        </w:rPr>
        <w:fldChar w:fldCharType="separate"/>
      </w:r>
      <w:r w:rsidR="00F273A6" w:rsidRPr="00F273A6">
        <w:rPr>
          <w:rFonts w:ascii="Arial" w:hAnsi="Arial" w:cs="Arial"/>
          <w:vertAlign w:val="superscript"/>
          <w:lang w:val="en-US"/>
        </w:rPr>
        <w:t>2</w:t>
      </w:r>
      <w:r w:rsidRPr="00F273A6">
        <w:rPr>
          <w:rStyle w:val="lev"/>
          <w:rFonts w:ascii="Arial" w:hAnsi="Arial" w:cs="Arial"/>
          <w:b w:val="0"/>
          <w:lang w:val="en-US"/>
        </w:rPr>
        <w:fldChar w:fldCharType="end"/>
      </w:r>
      <w:r w:rsidRPr="00F273A6">
        <w:rPr>
          <w:rStyle w:val="lev"/>
          <w:rFonts w:ascii="Arial" w:hAnsi="Arial" w:cs="Arial"/>
          <w:b w:val="0"/>
          <w:lang w:val="en-US"/>
        </w:rPr>
        <w:t xml:space="preserve"> Conversely, Cu and U redox state distribution did not match thermodynamic calculations</w:t>
      </w:r>
      <w:r w:rsidR="007F79ED" w:rsidRPr="00F273A6">
        <w:rPr>
          <w:rStyle w:val="lev"/>
          <w:rFonts w:ascii="Arial" w:hAnsi="Arial" w:cs="Arial"/>
          <w:b w:val="0"/>
          <w:lang w:val="en-US"/>
        </w:rPr>
        <w:t xml:space="preserve"> in the aqueous solution</w:t>
      </w:r>
      <w:r w:rsidRPr="00F273A6">
        <w:rPr>
          <w:rStyle w:val="lev"/>
          <w:rFonts w:ascii="Arial" w:hAnsi="Arial" w:cs="Arial"/>
          <w:b w:val="0"/>
          <w:lang w:val="en-US"/>
        </w:rPr>
        <w:t>. Indeed, L</w:t>
      </w:r>
      <w:r w:rsidRPr="00F273A6">
        <w:rPr>
          <w:rStyle w:val="lev"/>
          <w:rFonts w:ascii="Arial" w:hAnsi="Arial" w:cs="Arial"/>
          <w:b w:val="0"/>
          <w:vertAlign w:val="subscript"/>
          <w:lang w:val="en-US"/>
        </w:rPr>
        <w:t>2,3</w:t>
      </w:r>
      <w:r w:rsidRPr="00F273A6">
        <w:rPr>
          <w:rStyle w:val="lev"/>
          <w:rFonts w:ascii="Arial" w:hAnsi="Arial" w:cs="Arial"/>
          <w:b w:val="0"/>
          <w:lang w:val="en-US"/>
        </w:rPr>
        <w:t xml:space="preserve">-edge XAS results on DEIMOS beamline (SOLEIL), </w:t>
      </w:r>
      <w:r w:rsidR="007F79ED" w:rsidRPr="00F273A6">
        <w:rPr>
          <w:rStyle w:val="lev"/>
          <w:rFonts w:ascii="Arial" w:hAnsi="Arial" w:cs="Arial"/>
          <w:b w:val="0"/>
          <w:lang w:val="en-US"/>
        </w:rPr>
        <w:t xml:space="preserve">under moderately reducing conditions, Cu(II) prevailed at the magnetite surface while Cu(I) prevailed in solution. </w:t>
      </w:r>
      <w:r w:rsidR="00F273A6">
        <w:rPr>
          <w:rStyle w:val="lev"/>
          <w:rFonts w:ascii="Arial" w:hAnsi="Arial" w:cs="Arial"/>
          <w:b w:val="0"/>
          <w:lang w:val="en-US"/>
        </w:rPr>
        <w:t>At lower Eh</w:t>
      </w:r>
      <w:r w:rsidR="007F79ED" w:rsidRPr="00F273A6">
        <w:rPr>
          <w:rStyle w:val="lev"/>
          <w:rFonts w:ascii="Arial" w:hAnsi="Arial" w:cs="Arial"/>
          <w:b w:val="0"/>
          <w:lang w:val="en-US"/>
        </w:rPr>
        <w:t xml:space="preserve">, </w:t>
      </w:r>
      <w:r w:rsidRPr="00F273A6">
        <w:rPr>
          <w:rStyle w:val="lev"/>
          <w:rFonts w:ascii="Arial" w:hAnsi="Arial" w:cs="Arial"/>
          <w:b w:val="0"/>
          <w:lang w:val="en-US"/>
        </w:rPr>
        <w:t>Cu(II) was not reduced to Cu(0) but Cu(I) was stabilized at magnetite surface.</w:t>
      </w:r>
      <w:r w:rsidRPr="00F273A6">
        <w:rPr>
          <w:rStyle w:val="lev"/>
          <w:rFonts w:ascii="Arial" w:hAnsi="Arial" w:cs="Arial"/>
          <w:b w:val="0"/>
          <w:lang w:val="en-US"/>
        </w:rPr>
        <w:fldChar w:fldCharType="begin"/>
      </w:r>
      <w:r w:rsidRPr="00F273A6">
        <w:rPr>
          <w:rStyle w:val="lev"/>
          <w:rFonts w:ascii="Arial" w:hAnsi="Arial" w:cs="Arial"/>
          <w:b w:val="0"/>
          <w:lang w:val="en-US"/>
        </w:rPr>
        <w:instrText xml:space="preserve"> ADDIN ZOTERO_ITEM CSL_CITATION {"citationID":"bKs9BUJK","properties":{"unsorted":false,"formattedCitation":"\\super 3\\nosupersub{}","plainCitation":"3","noteIndex":0},"citationItems":[{"id":3278,"uris":["http://zotero.org/users/13703899/items/27IR48RP"],"itemData":{"id":3278,"type":"article-journal","abstract":"Copper (Cu) oxidation-state distribution controls its toxicity and mobility in natural systems and is affected by its interaction with redox-reactive mineral surfaces such as magnetite. By combining aqueous chemical analysis, X-ray absorption spectroscopy and aqueous speciation modeling, this study provides detailed mechanistic insights regarding Cu redox speciation in solution and at the surface of 10 nm-sized magnetite nanoparticles with varying stoichiometries (0.1 ≤ R = Fe(II)/Fe(III) ≤ 0.5), versus pH (4 to 9) and initial Cu(II) concentration ([Cu(II)]ini = 25 and 500 μM), with 10 mM NaCl. Cu(II) generally prevailed at the magnetite surface, with co-occurring Cu(I) from a smaller extent to an equal extent. Conversely, in the aqueous solution (i.e., after filtration), Cu(I) prevailed at pH &gt; 5, hence evidencing that solution and surface redox speciation may differ. Reduction to Cu(0) was only partial and detected under the most reducing condition (for R = 0.5) at high [Cu(II)]ini, because it was limited by Cu(II)- and Cu(I)-magnetite binding. Significant oxidation Fe(II) to Fe(III) was shown to be responsible for this partial reduction process, which could be overcome by adding Fe(II) ions to recharge the magnetite surface, hence promoting further copper reduction to Cu(0). This study provides fundamental insights into copper–magnetite interactions and enables improved predictions of copper speciation and fate in environmental systems.","container-title":"ACS Earth and Space Chemistry","DOI":"10.1021/acsearthspacechem.5c00315","issue":"2","journalAbbreviation":"ACS Earth Space Chem.","page":"507-514","publisher":"American Chemical Society","source":"ACS Publications","title":"Redox Behavior of Cu onto Magnetite Nanoparticles","volume":"10","author":[{"family":"Scaria","given":"Jaimy"},{"family":"Pédrot","given":"Mathieu"},{"family":"Fablet","given":"Laura"},{"family":"Choueikani","given":"Fadi"},{"family":"Pierson-Wickmann","given":"Anne-Catherine"},{"family":"Dia","given":"Aline"},{"family":"Sivry","given":"Yann"},{"family":"Catrouillet","given":"Charlotte"},{"family":"Marsac","given":"Rémi"}],"issued":{"date-parts":[["2026",2,19]]}}}],"schema":"https://github.com/citation-style-language/schema/raw/master/csl-citation.json"} </w:instrText>
      </w:r>
      <w:r w:rsidRPr="00F273A6">
        <w:rPr>
          <w:rStyle w:val="lev"/>
          <w:rFonts w:ascii="Arial" w:hAnsi="Arial" w:cs="Arial"/>
          <w:b w:val="0"/>
          <w:lang w:val="en-US"/>
        </w:rPr>
        <w:fldChar w:fldCharType="separate"/>
      </w:r>
      <w:r w:rsidR="00F273A6" w:rsidRPr="00F273A6">
        <w:rPr>
          <w:rFonts w:ascii="Arial" w:hAnsi="Arial" w:cs="Arial"/>
          <w:vertAlign w:val="superscript"/>
          <w:lang w:val="en-US"/>
        </w:rPr>
        <w:t>3</w:t>
      </w:r>
      <w:r w:rsidRPr="00F273A6">
        <w:rPr>
          <w:rStyle w:val="lev"/>
          <w:rFonts w:ascii="Arial" w:hAnsi="Arial" w:cs="Arial"/>
          <w:b w:val="0"/>
          <w:lang w:val="en-US"/>
        </w:rPr>
        <w:fldChar w:fldCharType="end"/>
      </w:r>
      <w:r w:rsidRPr="00F273A6">
        <w:rPr>
          <w:rStyle w:val="lev"/>
          <w:rFonts w:ascii="Arial" w:hAnsi="Arial" w:cs="Arial"/>
          <w:b w:val="0"/>
          <w:lang w:val="en-US"/>
        </w:rPr>
        <w:t xml:space="preserve"> Similarly, </w:t>
      </w:r>
      <w:r w:rsidR="00961B25" w:rsidRPr="00F273A6">
        <w:rPr>
          <w:rFonts w:ascii="Arial" w:hAnsi="Arial" w:cs="Arial"/>
          <w:lang w:val="en-US"/>
        </w:rPr>
        <w:t>U L</w:t>
      </w:r>
      <w:r w:rsidR="00961B25" w:rsidRPr="00F273A6">
        <w:rPr>
          <w:rFonts w:ascii="Arial" w:hAnsi="Arial" w:cs="Arial"/>
          <w:vertAlign w:val="subscript"/>
          <w:lang w:val="en-US"/>
        </w:rPr>
        <w:t>3</w:t>
      </w:r>
      <w:r w:rsidR="00961B25" w:rsidRPr="00F273A6">
        <w:rPr>
          <w:rFonts w:ascii="Arial" w:hAnsi="Arial" w:cs="Arial"/>
          <w:lang w:val="en-US"/>
        </w:rPr>
        <w:t>-edge</w:t>
      </w:r>
      <w:r w:rsidR="00961B25" w:rsidRPr="00F273A6">
        <w:rPr>
          <w:rStyle w:val="lev"/>
          <w:rFonts w:ascii="Arial" w:hAnsi="Arial" w:cs="Arial"/>
          <w:b w:val="0"/>
          <w:lang w:val="en-US"/>
        </w:rPr>
        <w:t xml:space="preserve"> </w:t>
      </w:r>
      <w:r w:rsidRPr="00F273A6">
        <w:rPr>
          <w:rStyle w:val="lev"/>
          <w:rFonts w:ascii="Arial" w:hAnsi="Arial" w:cs="Arial"/>
          <w:b w:val="0"/>
          <w:lang w:val="en-US"/>
        </w:rPr>
        <w:t>HERFD-XAS</w:t>
      </w:r>
      <w:r w:rsidRPr="00F273A6">
        <w:rPr>
          <w:rFonts w:ascii="Arial" w:hAnsi="Arial" w:cs="Arial"/>
          <w:lang w:val="en-US"/>
        </w:rPr>
        <w:t xml:space="preserve"> </w:t>
      </w:r>
      <w:r w:rsidR="00961B25" w:rsidRPr="00F273A6">
        <w:rPr>
          <w:rFonts w:ascii="Arial" w:hAnsi="Arial" w:cs="Arial"/>
          <w:lang w:val="en-US"/>
        </w:rPr>
        <w:t>at BL39XU beamline (SPring-8)</w:t>
      </w:r>
      <w:r w:rsidR="00637666" w:rsidRPr="00F273A6">
        <w:rPr>
          <w:rFonts w:ascii="Arial" w:hAnsi="Arial" w:cs="Arial"/>
          <w:lang w:val="en-US"/>
        </w:rPr>
        <w:t xml:space="preserve"> revealed that</w:t>
      </w:r>
      <w:r w:rsidR="00961B25" w:rsidRPr="00F273A6">
        <w:rPr>
          <w:rStyle w:val="lev"/>
          <w:rFonts w:ascii="Arial" w:hAnsi="Arial" w:cs="Arial"/>
          <w:b w:val="0"/>
          <w:bCs w:val="0"/>
          <w:lang w:val="en-US"/>
        </w:rPr>
        <w:t xml:space="preserve"> </w:t>
      </w:r>
      <w:r w:rsidRPr="00F273A6">
        <w:rPr>
          <w:rStyle w:val="lev"/>
          <w:rFonts w:ascii="Arial" w:hAnsi="Arial" w:cs="Arial"/>
          <w:b w:val="0"/>
          <w:lang w:val="en-US"/>
        </w:rPr>
        <w:t>U(VI) was not reduced to U(IV), but U(V) was found stable on a large range of pH and R conditions.</w:t>
      </w:r>
      <w:r w:rsidRPr="00F273A6">
        <w:rPr>
          <w:rStyle w:val="lev"/>
          <w:rFonts w:ascii="Arial" w:hAnsi="Arial" w:cs="Arial"/>
          <w:b w:val="0"/>
          <w:lang w:val="en-US"/>
        </w:rPr>
        <w:fldChar w:fldCharType="begin"/>
      </w:r>
      <w:r w:rsidRPr="00F273A6">
        <w:rPr>
          <w:rStyle w:val="lev"/>
          <w:rFonts w:ascii="Arial" w:hAnsi="Arial" w:cs="Arial"/>
          <w:b w:val="0"/>
          <w:lang w:val="en-US"/>
        </w:rPr>
        <w:instrText xml:space="preserve"> ADDIN ZOTERO_ITEM CSL_CITATION {"citationID":"GmJOFEEL","properties":{"unsorted":false,"formattedCitation":"\\super 4\\nosupersub{}","plainCitation":"4","noteIndex":0},"citationItems":[{"id":3267,"uris":["http://zotero.org/users/13703899/items/7B6LASAJ"],"itemData":{"id":3267,"type":"article-journal","abstract":"We observed that U(V) is more stable on magnetite nanoparticles than expected, across a wide range of pH and redox conditions and even after 10 days of reaction, as revealed by high-energy-resolution fluorescence-detection X-ray absorption spectroscopy combined with multivariate curve resolution.","container-title":"Chemical Communications","DOI":"10.1039/D5CC04540A","ISSN":"1364-548X","issue":"91","journalAbbreviation":"Chem. Commun.","language":"en","page":"17926-17929","publisher":"The Royal Society of Chemistry","source":"pubs-rsc-org.insu.bib.cnrs.fr","title":"High stabilization of pentavalent uranium on magnetite nanoparticles evidenced by high-energy-resolution X-ray absorption spectroscopy","volume":"61","author":[{"family":"Yomogida","given":"Takumi"},{"family":"Scaria","given":"Jaimy"},{"family":"Fablet","given":"Laura"},{"family":"Tokunaga","given":"Kohei"},{"family":"Dei","given":"Syuntaro"},{"family":"Higashi","given":"Kotaro"},{"family":"Kawamura","given":"Naomi"},{"family":"Takahashi","given":"Yoshio"},{"family":"Marsac","given":"Rémi"}],"issued":{"date-parts":[["2025",11,11]]}}}],"schema":"https://github.com/citation-style-language/schema/raw/master/csl-citation.json"} </w:instrText>
      </w:r>
      <w:r w:rsidRPr="00F273A6">
        <w:rPr>
          <w:rStyle w:val="lev"/>
          <w:rFonts w:ascii="Arial" w:hAnsi="Arial" w:cs="Arial"/>
          <w:b w:val="0"/>
          <w:lang w:val="en-US"/>
        </w:rPr>
        <w:fldChar w:fldCharType="separate"/>
      </w:r>
      <w:r w:rsidR="00F273A6" w:rsidRPr="00F273A6">
        <w:rPr>
          <w:rFonts w:ascii="Arial" w:hAnsi="Arial" w:cs="Arial"/>
          <w:vertAlign w:val="superscript"/>
          <w:lang w:val="en-US"/>
        </w:rPr>
        <w:t>4</w:t>
      </w:r>
      <w:r w:rsidRPr="00F273A6">
        <w:rPr>
          <w:rStyle w:val="lev"/>
          <w:rFonts w:ascii="Arial" w:hAnsi="Arial" w:cs="Arial"/>
          <w:b w:val="0"/>
          <w:lang w:val="en-US"/>
        </w:rPr>
        <w:fldChar w:fldCharType="end"/>
      </w:r>
      <w:r w:rsidR="00637666" w:rsidRPr="00F273A6">
        <w:rPr>
          <w:rStyle w:val="lev"/>
          <w:rFonts w:ascii="Arial" w:hAnsi="Arial" w:cs="Arial"/>
          <w:b w:val="0"/>
          <w:lang w:val="en-US"/>
        </w:rPr>
        <w:t xml:space="preserve"> If Cu(II) enhanced stability field can be explained by the high affinity of Cu</w:t>
      </w:r>
      <w:r w:rsidR="00637666" w:rsidRPr="00F273A6">
        <w:rPr>
          <w:rStyle w:val="lev"/>
          <w:rFonts w:ascii="Arial" w:hAnsi="Arial" w:cs="Arial"/>
          <w:b w:val="0"/>
          <w:vertAlign w:val="superscript"/>
          <w:lang w:val="en-US"/>
        </w:rPr>
        <w:t>2+</w:t>
      </w:r>
      <w:r w:rsidR="00637666" w:rsidRPr="00F273A6">
        <w:rPr>
          <w:rStyle w:val="lev"/>
          <w:rFonts w:ascii="Arial" w:hAnsi="Arial" w:cs="Arial"/>
          <w:b w:val="0"/>
          <w:lang w:val="en-US"/>
        </w:rPr>
        <w:t xml:space="preserve"> for surface -OH groups, Cu</w:t>
      </w:r>
      <w:r w:rsidR="00637666" w:rsidRPr="00F273A6">
        <w:rPr>
          <w:rStyle w:val="lev"/>
          <w:rFonts w:ascii="Arial" w:hAnsi="Arial" w:cs="Arial"/>
          <w:b w:val="0"/>
          <w:vertAlign w:val="superscript"/>
          <w:lang w:val="en-US"/>
        </w:rPr>
        <w:t>+</w:t>
      </w:r>
      <w:r w:rsidR="00637666" w:rsidRPr="00F273A6">
        <w:rPr>
          <w:rStyle w:val="lev"/>
          <w:rFonts w:ascii="Arial" w:hAnsi="Arial" w:cs="Arial"/>
          <w:b w:val="0"/>
          <w:lang w:val="en-US"/>
        </w:rPr>
        <w:t xml:space="preserve"> and UO</w:t>
      </w:r>
      <w:r w:rsidR="00637666" w:rsidRPr="00F273A6">
        <w:rPr>
          <w:rStyle w:val="lev"/>
          <w:rFonts w:ascii="Arial" w:hAnsi="Arial" w:cs="Arial"/>
          <w:b w:val="0"/>
          <w:vertAlign w:val="subscript"/>
          <w:lang w:val="en-US"/>
        </w:rPr>
        <w:t>2</w:t>
      </w:r>
      <w:r w:rsidR="00637666" w:rsidRPr="00F273A6">
        <w:rPr>
          <w:rStyle w:val="lev"/>
          <w:rFonts w:ascii="Arial" w:hAnsi="Arial" w:cs="Arial"/>
          <w:b w:val="0"/>
          <w:vertAlign w:val="superscript"/>
          <w:lang w:val="en-US"/>
        </w:rPr>
        <w:t>+</w:t>
      </w:r>
      <w:r w:rsidR="00637666" w:rsidRPr="00F273A6">
        <w:rPr>
          <w:rStyle w:val="lev"/>
          <w:rFonts w:ascii="Arial" w:hAnsi="Arial" w:cs="Arial"/>
          <w:b w:val="0"/>
          <w:lang w:val="en-US"/>
        </w:rPr>
        <w:t xml:space="preserve"> very likely incorporate in</w:t>
      </w:r>
      <w:r w:rsidR="004F7453">
        <w:rPr>
          <w:rStyle w:val="lev"/>
          <w:rFonts w:ascii="Arial" w:hAnsi="Arial" w:cs="Arial"/>
          <w:b w:val="0"/>
          <w:lang w:val="en-US"/>
        </w:rPr>
        <w:t>to</w:t>
      </w:r>
      <w:r w:rsidR="00637666" w:rsidRPr="00F273A6">
        <w:rPr>
          <w:rStyle w:val="lev"/>
          <w:rFonts w:ascii="Arial" w:hAnsi="Arial" w:cs="Arial"/>
          <w:b w:val="0"/>
          <w:lang w:val="en-US"/>
        </w:rPr>
        <w:t xml:space="preserve"> magnetite, as they </w:t>
      </w:r>
      <w:r w:rsidR="004F7453">
        <w:rPr>
          <w:rStyle w:val="lev"/>
          <w:rFonts w:ascii="Arial" w:hAnsi="Arial" w:cs="Arial"/>
          <w:b w:val="0"/>
          <w:lang w:val="en-US"/>
        </w:rPr>
        <w:t xml:space="preserve">generally </w:t>
      </w:r>
      <w:r w:rsidR="00637666" w:rsidRPr="00F273A6">
        <w:rPr>
          <w:rStyle w:val="lev"/>
          <w:rFonts w:ascii="Arial" w:hAnsi="Arial" w:cs="Arial"/>
          <w:b w:val="0"/>
          <w:lang w:val="en-US"/>
        </w:rPr>
        <w:t xml:space="preserve">weakly bind to metal oxide surfaces under circumneutral pH conditions. </w:t>
      </w:r>
      <w:bookmarkStart w:id="0" w:name="_GoBack"/>
      <w:bookmarkEnd w:id="0"/>
    </w:p>
    <w:p w:rsidR="00B126D4" w:rsidRDefault="00637666" w:rsidP="00246C59">
      <w:pPr>
        <w:pStyle w:val="NormalWeb"/>
        <w:jc w:val="both"/>
        <w:rPr>
          <w:rFonts w:ascii="Arial" w:hAnsi="Arial" w:cs="Arial"/>
          <w:lang w:val="en-US"/>
        </w:rPr>
      </w:pPr>
      <w:r w:rsidRPr="00F273A6">
        <w:rPr>
          <w:rStyle w:val="lev"/>
          <w:rFonts w:ascii="Arial" w:hAnsi="Arial" w:cs="Arial"/>
          <w:b w:val="0"/>
          <w:lang w:val="en-US"/>
        </w:rPr>
        <w:t>These results demonstrate that contaminants interaction with magnetite surface play a key role on their oxidation state</w:t>
      </w:r>
      <w:r w:rsidR="004F7453">
        <w:rPr>
          <w:rStyle w:val="lev"/>
          <w:rFonts w:ascii="Arial" w:hAnsi="Arial" w:cs="Arial"/>
          <w:b w:val="0"/>
          <w:lang w:val="en-US"/>
        </w:rPr>
        <w:t xml:space="preserve"> distribution</w:t>
      </w:r>
      <w:r w:rsidRPr="00F273A6">
        <w:rPr>
          <w:rStyle w:val="lev"/>
          <w:rFonts w:ascii="Arial" w:hAnsi="Arial" w:cs="Arial"/>
          <w:b w:val="0"/>
          <w:lang w:val="en-US"/>
        </w:rPr>
        <w:t>. This opens new paths for the improvement of geochemical models that help predicti</w:t>
      </w:r>
      <w:r w:rsidR="004F7453">
        <w:rPr>
          <w:rStyle w:val="lev"/>
          <w:rFonts w:ascii="Arial" w:hAnsi="Arial" w:cs="Arial"/>
          <w:b w:val="0"/>
          <w:lang w:val="en-US"/>
        </w:rPr>
        <w:t>ng</w:t>
      </w:r>
      <w:r w:rsidRPr="00F273A6">
        <w:rPr>
          <w:rStyle w:val="lev"/>
          <w:rFonts w:ascii="Arial" w:hAnsi="Arial" w:cs="Arial"/>
          <w:b w:val="0"/>
          <w:lang w:val="en-US"/>
        </w:rPr>
        <w:t xml:space="preserve"> con</w:t>
      </w:r>
      <w:r w:rsidR="001645C4">
        <w:rPr>
          <w:rStyle w:val="lev"/>
          <w:rFonts w:ascii="Arial" w:hAnsi="Arial" w:cs="Arial"/>
          <w:b w:val="0"/>
          <w:lang w:val="en-US"/>
        </w:rPr>
        <w:t>t</w:t>
      </w:r>
      <w:r w:rsidRPr="00F273A6">
        <w:rPr>
          <w:rStyle w:val="lev"/>
          <w:rFonts w:ascii="Arial" w:hAnsi="Arial" w:cs="Arial"/>
          <w:b w:val="0"/>
          <w:lang w:val="en-US"/>
        </w:rPr>
        <w:t xml:space="preserve">aminants </w:t>
      </w:r>
      <w:r w:rsidR="00B126D4" w:rsidRPr="00F273A6">
        <w:rPr>
          <w:rStyle w:val="lev"/>
          <w:rFonts w:ascii="Arial" w:hAnsi="Arial" w:cs="Arial"/>
          <w:b w:val="0"/>
          <w:lang w:val="en-US"/>
        </w:rPr>
        <w:t>mobility, toxicity, and environmental fate</w:t>
      </w:r>
      <w:r w:rsidR="00B126D4" w:rsidRPr="00F273A6">
        <w:rPr>
          <w:rFonts w:ascii="Arial" w:hAnsi="Arial" w:cs="Arial"/>
          <w:lang w:val="en-US"/>
        </w:rPr>
        <w:t>.</w:t>
      </w:r>
    </w:p>
    <w:p w:rsidR="00F273A6" w:rsidRPr="00786AC5" w:rsidRDefault="00F273A6" w:rsidP="00F273A6">
      <w:pPr>
        <w:pStyle w:val="NormalWeb"/>
        <w:jc w:val="center"/>
        <w:rPr>
          <w:rFonts w:ascii="Arial" w:hAnsi="Arial" w:cs="Arial"/>
          <w:b/>
          <w:bCs/>
          <w:caps/>
          <w:kern w:val="36"/>
          <w:sz w:val="22"/>
          <w:szCs w:val="22"/>
        </w:rPr>
      </w:pPr>
      <w:r w:rsidRPr="00786AC5">
        <w:rPr>
          <w:rFonts w:ascii="Arial" w:hAnsi="Arial" w:cs="Arial"/>
          <w:b/>
          <w:bCs/>
          <w:caps/>
          <w:kern w:val="36"/>
          <w:sz w:val="22"/>
          <w:szCs w:val="22"/>
        </w:rPr>
        <w:t>References</w:t>
      </w:r>
    </w:p>
    <w:p w:rsidR="00F273A6" w:rsidRPr="00786AC5" w:rsidRDefault="00C85EB0" w:rsidP="00F273A6">
      <w:pPr>
        <w:pStyle w:val="Bibliographie"/>
      </w:pPr>
      <w:r w:rsidRPr="00F273A6">
        <w:rPr>
          <w:lang w:val="en-US"/>
        </w:rPr>
        <w:fldChar w:fldCharType="begin"/>
      </w:r>
      <w:r w:rsidR="00F273A6" w:rsidRPr="001645C4">
        <w:instrText xml:space="preserve"> ADDIN ZOTERO_BIBL {"uncited":[],"omitted":[],"custom":[]} CSL_BIBLIOGRAPHY </w:instrText>
      </w:r>
      <w:r w:rsidRPr="00F273A6">
        <w:rPr>
          <w:lang w:val="en-US"/>
        </w:rPr>
        <w:fldChar w:fldCharType="separate"/>
      </w:r>
      <w:r w:rsidR="00F273A6" w:rsidRPr="001645C4">
        <w:t>1</w:t>
      </w:r>
      <w:r w:rsidR="00F273A6" w:rsidRPr="001645C4">
        <w:tab/>
        <w:t>P. Jungcharoen</w:t>
      </w:r>
      <w:r w:rsidR="001645C4" w:rsidRPr="001645C4">
        <w:t xml:space="preserve"> et al.</w:t>
      </w:r>
      <w:r w:rsidR="00F273A6" w:rsidRPr="001645C4">
        <w:t xml:space="preserve">, </w:t>
      </w:r>
      <w:r w:rsidR="00F273A6" w:rsidRPr="001645C4">
        <w:rPr>
          <w:i/>
          <w:iCs/>
        </w:rPr>
        <w:t xml:space="preserve">Environ. </w:t>
      </w:r>
      <w:r w:rsidR="00F273A6" w:rsidRPr="00786AC5">
        <w:rPr>
          <w:i/>
          <w:iCs/>
        </w:rPr>
        <w:t>Sci.: Nano</w:t>
      </w:r>
      <w:r w:rsidR="00F273A6" w:rsidRPr="00786AC5">
        <w:t xml:space="preserve">, 2022, </w:t>
      </w:r>
      <w:r w:rsidR="00F273A6" w:rsidRPr="00786AC5">
        <w:rPr>
          <w:b/>
          <w:bCs/>
        </w:rPr>
        <w:t>9</w:t>
      </w:r>
      <w:r w:rsidR="00F273A6" w:rsidRPr="00786AC5">
        <w:t>, 2363–2371.</w:t>
      </w:r>
    </w:p>
    <w:p w:rsidR="00F273A6" w:rsidRPr="00F273A6" w:rsidRDefault="00F273A6" w:rsidP="00F273A6">
      <w:pPr>
        <w:pStyle w:val="Bibliographie"/>
      </w:pPr>
      <w:r w:rsidRPr="00F273A6">
        <w:t>2</w:t>
      </w:r>
      <w:r w:rsidRPr="00F273A6">
        <w:tab/>
        <w:t>J. Scaria</w:t>
      </w:r>
      <w:r w:rsidR="001645C4">
        <w:t xml:space="preserve"> et al.</w:t>
      </w:r>
      <w:r w:rsidRPr="00F273A6">
        <w:t xml:space="preserve">, </w:t>
      </w:r>
      <w:r w:rsidRPr="00F273A6">
        <w:rPr>
          <w:i/>
          <w:iCs/>
        </w:rPr>
        <w:t>Environ. Sci. Technol.</w:t>
      </w:r>
      <w:r w:rsidRPr="00F273A6">
        <w:t xml:space="preserve">, 2025, </w:t>
      </w:r>
      <w:r w:rsidRPr="00F273A6">
        <w:rPr>
          <w:b/>
          <w:bCs/>
        </w:rPr>
        <w:t>59</w:t>
      </w:r>
      <w:r w:rsidRPr="00F273A6">
        <w:t>, 5747–5755.</w:t>
      </w:r>
    </w:p>
    <w:p w:rsidR="00F273A6" w:rsidRPr="00786AC5" w:rsidRDefault="00F273A6" w:rsidP="00F273A6">
      <w:pPr>
        <w:pStyle w:val="Bibliographie"/>
      </w:pPr>
      <w:r w:rsidRPr="00786AC5">
        <w:t>3</w:t>
      </w:r>
      <w:r w:rsidRPr="00786AC5">
        <w:tab/>
        <w:t>J. Scaria</w:t>
      </w:r>
      <w:r w:rsidR="001645C4" w:rsidRPr="00786AC5">
        <w:t xml:space="preserve"> et al.</w:t>
      </w:r>
      <w:r w:rsidRPr="00786AC5">
        <w:t xml:space="preserve">, </w:t>
      </w:r>
      <w:r w:rsidRPr="00786AC5">
        <w:rPr>
          <w:i/>
          <w:iCs/>
        </w:rPr>
        <w:t>ACS Earth Space Chem.</w:t>
      </w:r>
      <w:r w:rsidRPr="00786AC5">
        <w:t xml:space="preserve">, 2026, </w:t>
      </w:r>
      <w:r w:rsidRPr="00786AC5">
        <w:rPr>
          <w:b/>
          <w:bCs/>
        </w:rPr>
        <w:t>10</w:t>
      </w:r>
      <w:r w:rsidRPr="00786AC5">
        <w:t>, 507–514.</w:t>
      </w:r>
    </w:p>
    <w:p w:rsidR="00B126D4" w:rsidRPr="00F273A6" w:rsidRDefault="00F273A6" w:rsidP="00786AC5">
      <w:pPr>
        <w:pStyle w:val="Bibliographie"/>
        <w:rPr>
          <w:rFonts w:ascii="Arial" w:hAnsi="Arial" w:cs="Arial"/>
          <w:lang w:val="en-US"/>
        </w:rPr>
      </w:pPr>
      <w:r w:rsidRPr="00F273A6">
        <w:t>4</w:t>
      </w:r>
      <w:r w:rsidRPr="00F273A6">
        <w:tab/>
        <w:t>T. Yomogida</w:t>
      </w:r>
      <w:r w:rsidR="001645C4">
        <w:t xml:space="preserve"> et al.</w:t>
      </w:r>
      <w:r w:rsidRPr="00F273A6">
        <w:t xml:space="preserve">, </w:t>
      </w:r>
      <w:r w:rsidRPr="00F273A6">
        <w:rPr>
          <w:i/>
          <w:iCs/>
        </w:rPr>
        <w:t>Chem. Commun.</w:t>
      </w:r>
      <w:r w:rsidRPr="00F273A6">
        <w:t xml:space="preserve">, 2025, </w:t>
      </w:r>
      <w:r w:rsidRPr="00F273A6">
        <w:rPr>
          <w:b/>
          <w:bCs/>
        </w:rPr>
        <w:t>61</w:t>
      </w:r>
      <w:r w:rsidRPr="00F273A6">
        <w:t>, 17926–17929.</w:t>
      </w:r>
      <w:r w:rsidR="00C85EB0" w:rsidRPr="00F273A6">
        <w:rPr>
          <w:rFonts w:ascii="Arial" w:hAnsi="Arial" w:cs="Arial"/>
          <w:lang w:val="en-US"/>
        </w:rPr>
        <w:fldChar w:fldCharType="end"/>
      </w:r>
    </w:p>
    <w:sectPr w:rsidR="00B126D4" w:rsidRPr="00F27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D4"/>
    <w:rsid w:val="000A1837"/>
    <w:rsid w:val="001645C4"/>
    <w:rsid w:val="00246C59"/>
    <w:rsid w:val="004F7453"/>
    <w:rsid w:val="0056608D"/>
    <w:rsid w:val="00637666"/>
    <w:rsid w:val="00786AC5"/>
    <w:rsid w:val="007F79ED"/>
    <w:rsid w:val="00961B25"/>
    <w:rsid w:val="00AA153A"/>
    <w:rsid w:val="00B126D4"/>
    <w:rsid w:val="00C85EB0"/>
    <w:rsid w:val="00D037C4"/>
    <w:rsid w:val="00F273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0184"/>
  <w15:chartTrackingRefBased/>
  <w15:docId w15:val="{4BBEDCE8-3304-44AE-9E93-44927127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26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126D4"/>
    <w:rPr>
      <w:b/>
      <w:bCs/>
    </w:rPr>
  </w:style>
  <w:style w:type="paragraph" w:styleId="Bibliographie">
    <w:name w:val="Bibliography"/>
    <w:basedOn w:val="Normal"/>
    <w:next w:val="Normal"/>
    <w:uiPriority w:val="37"/>
    <w:unhideWhenUsed/>
    <w:rsid w:val="00C85EB0"/>
    <w:pPr>
      <w:tabs>
        <w:tab w:val="left" w:pos="144"/>
      </w:tabs>
      <w:spacing w:after="0" w:line="240" w:lineRule="auto"/>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87787">
      <w:bodyDiv w:val="1"/>
      <w:marLeft w:val="0"/>
      <w:marRight w:val="0"/>
      <w:marTop w:val="0"/>
      <w:marBottom w:val="0"/>
      <w:divBdr>
        <w:top w:val="none" w:sz="0" w:space="0" w:color="auto"/>
        <w:left w:val="none" w:sz="0" w:space="0" w:color="auto"/>
        <w:bottom w:val="none" w:sz="0" w:space="0" w:color="auto"/>
        <w:right w:val="none" w:sz="0" w:space="0" w:color="auto"/>
      </w:divBdr>
    </w:div>
    <w:div w:id="99445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1979</Words>
  <Characters>10888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Marsac</dc:creator>
  <cp:keywords/>
  <dc:description/>
  <cp:lastModifiedBy>Rémi Marsac</cp:lastModifiedBy>
  <cp:revision>7</cp:revision>
  <dcterms:created xsi:type="dcterms:W3CDTF">2026-06-22T08:39:00Z</dcterms:created>
  <dcterms:modified xsi:type="dcterms:W3CDTF">2026-06-28T12:00:00Z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id="d5OXls33"/&gt;&lt;style id="http://www.zotero.org/styles/royal-society-of-chemistry" hasBibliography="1" bibliographyStyleHasBeenSet="1"/&gt;&lt;prefs&gt;&lt;pref name="fieldType" value="Field"/&gt;&lt;/prefs&gt;&lt;/data&gt;</vt:lpwstr>
  </property>
</Properties>
</file>