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pertitle"/>
        <w:rPr>
          <w:rStyle w:val="Aucun"/>
          <w:rFonts w:ascii="Arial" w:cs="Arial" w:hAnsi="Arial" w:eastAsia="Arial"/>
          <w:lang w:val="en-US"/>
        </w:rPr>
      </w:pPr>
      <w:r>
        <w:rPr>
          <w:rStyle w:val="Aucun"/>
          <w:rtl w:val="0"/>
          <w:lang w:val="en-US"/>
        </w:rPr>
        <w:t>Mineralogical Controls on the Fate of Emerging Contaminants in Laterites Revealed by XAFS</w:t>
      </w:r>
    </w:p>
    <w:p>
      <w:pPr>
        <w:pStyle w:val="paperauthor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en-US"/>
        </w:rPr>
        <w:t>Quentin Bollaert</w:t>
      </w:r>
      <w:r>
        <w:rPr>
          <w:rStyle w:val="Aucun"/>
          <w:rFonts w:ascii="Arial" w:hAnsi="Arial"/>
          <w:vertAlign w:val="superscript"/>
          <w:rtl w:val="0"/>
          <w:lang w:val="fr-FR"/>
        </w:rPr>
        <w:t>1</w:t>
      </w:r>
      <w:r>
        <w:rPr>
          <w:rStyle w:val="Aucun"/>
          <w:rFonts w:ascii="Arial" w:hAnsi="Arial"/>
          <w:rtl w:val="0"/>
          <w:lang w:val="en-US"/>
        </w:rPr>
        <w:t xml:space="preserve">, </w:t>
      </w:r>
      <w:r>
        <w:rPr>
          <w:rStyle w:val="Aucun"/>
          <w:rFonts w:ascii="Arial" w:hAnsi="Arial"/>
          <w:rtl w:val="0"/>
          <w:lang w:val="fr-FR"/>
        </w:rPr>
        <w:t>C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cile Quantin</w:t>
      </w:r>
      <w:r>
        <w:rPr>
          <w:rStyle w:val="Aucun"/>
          <w:rFonts w:ascii="Arial" w:hAnsi="Arial"/>
          <w:vertAlign w:val="superscript"/>
          <w:rtl w:val="0"/>
          <w:lang w:val="fr-FR"/>
        </w:rPr>
        <w:t>2</w:t>
      </w:r>
      <w:r>
        <w:rPr>
          <w:rStyle w:val="Aucun"/>
          <w:rFonts w:ascii="Arial" w:hAnsi="Arial"/>
          <w:rtl w:val="0"/>
          <w:lang w:val="fr-FR"/>
        </w:rPr>
        <w:t>,</w:t>
      </w:r>
      <w:r>
        <w:rPr>
          <w:rStyle w:val="Aucun"/>
          <w:rFonts w:ascii="Arial" w:hAnsi="Arial"/>
          <w:rtl w:val="0"/>
          <w:lang w:val="en-US"/>
        </w:rPr>
        <w:t xml:space="preserve"> Alexandra Courtin</w:t>
      </w:r>
      <w:r>
        <w:rPr>
          <w:rStyle w:val="Aucun"/>
          <w:rFonts w:ascii="Arial" w:hAnsi="Arial"/>
          <w:vertAlign w:val="superscript"/>
          <w:rtl w:val="0"/>
          <w:lang w:val="fr-FR"/>
        </w:rPr>
        <w:t>2</w:t>
      </w:r>
      <w:r>
        <w:rPr>
          <w:rStyle w:val="Aucun"/>
          <w:rFonts w:ascii="Arial" w:hAnsi="Arial"/>
          <w:rtl w:val="0"/>
          <w:lang w:val="en-US"/>
        </w:rPr>
        <w:t>,</w:t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rFonts w:ascii="Arial" w:hAnsi="Arial"/>
          <w:rtl w:val="0"/>
          <w:lang w:val="en-US"/>
        </w:rPr>
        <w:t>Delphine Vantelon</w:t>
      </w:r>
      <w:r>
        <w:rPr>
          <w:rStyle w:val="Aucun"/>
          <w:rFonts w:ascii="Arial" w:hAnsi="Arial"/>
          <w:vertAlign w:val="superscript"/>
          <w:rtl w:val="0"/>
          <w:lang w:val="fr-FR"/>
        </w:rPr>
        <w:t>1</w:t>
      </w:r>
      <w:r>
        <w:rPr>
          <w:rStyle w:val="Aucun"/>
          <w:rFonts w:ascii="Arial" w:hAnsi="Arial"/>
          <w:rtl w:val="0"/>
          <w:lang w:val="en-US"/>
        </w:rPr>
        <w:t xml:space="preserve">, </w:t>
      </w:r>
      <w:r>
        <w:rPr>
          <w:rStyle w:val="Aucun"/>
          <w:rFonts w:ascii="Arial" w:hAnsi="Arial"/>
          <w:rtl w:val="0"/>
          <w:lang w:val="en-US"/>
        </w:rPr>
        <w:t xml:space="preserve">Gautier </w:t>
      </w:r>
      <w:r>
        <w:rPr>
          <w:rStyle w:val="Aucun"/>
          <w:rFonts w:ascii="Arial" w:hAnsi="Arial"/>
          <w:rtl w:val="0"/>
          <w:lang w:val="en-US"/>
        </w:rPr>
        <w:t>Landrot</w:t>
      </w:r>
      <w:r>
        <w:rPr>
          <w:rStyle w:val="Aucun"/>
          <w:rFonts w:ascii="Arial" w:hAnsi="Arial"/>
          <w:vertAlign w:val="superscript"/>
          <w:rtl w:val="0"/>
          <w:lang w:val="en-US"/>
        </w:rPr>
        <w:t>1</w:t>
      </w:r>
      <w:r>
        <w:rPr>
          <w:rStyle w:val="Aucun"/>
          <w:rFonts w:ascii="Arial" w:hAnsi="Arial"/>
          <w:rtl w:val="0"/>
          <w:lang w:val="en-US"/>
        </w:rPr>
        <w:t>, Olivier Mathon</w:t>
      </w:r>
      <w:r>
        <w:rPr>
          <w:rStyle w:val="Aucun"/>
          <w:rFonts w:ascii="Arial" w:hAnsi="Arial"/>
          <w:vertAlign w:val="superscript"/>
          <w:rtl w:val="0"/>
          <w:lang w:val="en-US"/>
        </w:rPr>
        <w:t>3</w:t>
      </w:r>
      <w:r>
        <w:rPr>
          <w:rStyle w:val="Aucun"/>
          <w:rFonts w:ascii="Arial" w:hAnsi="Arial"/>
          <w:rtl w:val="0"/>
          <w:lang w:val="en-US"/>
        </w:rPr>
        <w:t xml:space="preserve">, </w:t>
      </w:r>
      <w:r>
        <w:rPr>
          <w:rStyle w:val="Aucun"/>
          <w:rFonts w:ascii="Arial" w:hAnsi="Arial"/>
          <w:rtl w:val="0"/>
          <w:lang w:val="en-US"/>
        </w:rPr>
        <w:t>Myriam</w:t>
      </w:r>
      <w:r>
        <w:rPr>
          <w:rStyle w:val="Aucun"/>
          <w:rFonts w:ascii="Arial" w:hAnsi="Arial"/>
          <w:rtl w:val="0"/>
          <w:lang w:val="en-US"/>
        </w:rPr>
        <w:t xml:space="preserve"> Boudieb</w:t>
      </w:r>
      <w:r>
        <w:rPr>
          <w:rStyle w:val="Aucun"/>
          <w:rFonts w:ascii="Arial" w:hAnsi="Arial"/>
          <w:vertAlign w:val="superscript"/>
          <w:rtl w:val="0"/>
          <w:lang w:val="en-US"/>
        </w:rPr>
        <w:t>4</w:t>
      </w:r>
      <w:r>
        <w:rPr>
          <w:rStyle w:val="Aucun"/>
          <w:rFonts w:ascii="Arial" w:hAnsi="Arial"/>
          <w:rtl w:val="0"/>
          <w:lang w:val="en-US"/>
        </w:rPr>
        <w:t xml:space="preserve">, </w:t>
      </w:r>
      <w:r>
        <w:rPr>
          <w:rStyle w:val="Aucun"/>
          <w:rFonts w:ascii="Arial" w:hAnsi="Arial"/>
          <w:rtl w:val="0"/>
          <w:lang w:val="fr-FR"/>
        </w:rPr>
        <w:t>Louann Leroy</w:t>
      </w:r>
      <w:r>
        <w:rPr>
          <w:rStyle w:val="Aucun"/>
          <w:rFonts w:ascii="Arial" w:hAnsi="Arial"/>
          <w:vertAlign w:val="superscript"/>
          <w:rtl w:val="0"/>
          <w:lang w:val="fr-FR"/>
        </w:rPr>
        <w:t>2</w:t>
      </w:r>
      <w:r>
        <w:rPr>
          <w:rStyle w:val="Aucun"/>
          <w:rFonts w:ascii="Arial" w:hAnsi="Arial"/>
          <w:rtl w:val="0"/>
          <w:lang w:val="fr-FR"/>
        </w:rPr>
        <w:t>, Laurence Galoisy</w:t>
      </w:r>
      <w:r>
        <w:rPr>
          <w:rStyle w:val="Aucun"/>
          <w:rFonts w:ascii="Arial" w:hAnsi="Arial"/>
          <w:vertAlign w:val="superscript"/>
          <w:rtl w:val="0"/>
          <w:lang w:val="fr-FR"/>
        </w:rPr>
        <w:t>4</w:t>
      </w:r>
      <w:r>
        <w:rPr>
          <w:rStyle w:val="Aucun"/>
          <w:rFonts w:ascii="Arial" w:hAnsi="Arial"/>
          <w:rtl w:val="0"/>
          <w:lang w:val="fr-FR"/>
        </w:rPr>
        <w:t>, Georges Calas</w:t>
      </w:r>
      <w:r>
        <w:rPr>
          <w:rStyle w:val="Aucun"/>
          <w:rFonts w:ascii="Arial" w:hAnsi="Arial"/>
          <w:vertAlign w:val="superscript"/>
          <w:rtl w:val="0"/>
          <w:lang w:val="fr-FR"/>
        </w:rPr>
        <w:t>4</w:t>
      </w:r>
      <w:r>
        <w:rPr>
          <w:rStyle w:val="Aucun"/>
          <w:rFonts w:ascii="Arial" w:hAnsi="Arial"/>
          <w:rtl w:val="0"/>
          <w:lang w:val="fr-FR"/>
        </w:rPr>
        <w:t>, Mathieu Chass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vertAlign w:val="superscript"/>
          <w:rtl w:val="0"/>
          <w:lang w:val="fr-FR"/>
        </w:rPr>
        <w:t>4</w:t>
      </w:r>
    </w:p>
    <w:p>
      <w:pPr>
        <w:pStyle w:val="authoraffiliation"/>
        <w:spacing w:line="216" w:lineRule="auto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vertAlign w:val="superscript"/>
          <w:rtl w:val="0"/>
          <w:lang w:val="fr-FR"/>
        </w:rPr>
        <w:t>1</w:t>
      </w:r>
      <w:r>
        <w:rPr>
          <w:rStyle w:val="Aucun"/>
          <w:rFonts w:ascii="Arial" w:hAnsi="Arial"/>
          <w:rtl w:val="0"/>
          <w:lang w:val="en-US"/>
        </w:rPr>
        <w:t>Synchrotron SOLEIL, L</w:t>
      </w:r>
      <w:r>
        <w:rPr>
          <w:rStyle w:val="Aucun"/>
          <w:rFonts w:ascii="Arial" w:hAnsi="Arial" w:hint="default"/>
          <w:rtl w:val="0"/>
          <w:lang w:val="en-US"/>
        </w:rPr>
        <w:t>’</w:t>
      </w:r>
      <w:r>
        <w:rPr>
          <w:rStyle w:val="Aucun"/>
          <w:rFonts w:ascii="Arial" w:hAnsi="Arial"/>
          <w:rtl w:val="0"/>
          <w:lang w:val="en-US"/>
        </w:rPr>
        <w:t>Orme des Merisiers, Saint-Aubin, 91190</w:t>
      </w:r>
      <w:r>
        <w:rPr>
          <w:rStyle w:val="Aucun"/>
          <w:rFonts w:ascii="Arial" w:hAnsi="Arial"/>
          <w:rtl w:val="0"/>
          <w:lang w:val="fr-FR"/>
        </w:rPr>
        <w:t>,</w:t>
      </w:r>
      <w:r>
        <w:rPr>
          <w:rStyle w:val="Aucun"/>
          <w:rFonts w:ascii="Arial" w:hAnsi="Arial"/>
          <w:rtl w:val="0"/>
          <w:lang w:val="en-US"/>
        </w:rPr>
        <w:t xml:space="preserve"> France</w:t>
      </w:r>
      <w:r>
        <w:rPr>
          <w:rStyle w:val="Aucun"/>
          <w:rFonts w:ascii="Arial" w:hAnsi="Arial"/>
          <w:rtl w:val="0"/>
          <w:lang w:val="fr-FR"/>
        </w:rPr>
        <w:t xml:space="preserve">; </w:t>
      </w:r>
      <w:r>
        <w:rPr>
          <w:rStyle w:val="Aucun"/>
          <w:rFonts w:ascii="Arial" w:hAnsi="Arial"/>
          <w:vertAlign w:val="superscript"/>
          <w:rtl w:val="0"/>
          <w:lang w:val="fr-FR"/>
        </w:rPr>
        <w:t>2</w:t>
      </w:r>
      <w:r>
        <w:rPr>
          <w:rStyle w:val="Aucun"/>
          <w:rFonts w:ascii="Arial" w:hAnsi="Arial"/>
          <w:rtl w:val="0"/>
          <w:lang w:val="en-US"/>
        </w:rPr>
        <w:t>Universit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en-US"/>
        </w:rPr>
        <w:t xml:space="preserve"> Paris-Saclay, CNRS, GEOPS, 91405 Orsay, France</w:t>
      </w:r>
      <w:r>
        <w:rPr>
          <w:rStyle w:val="Aucun"/>
          <w:rFonts w:ascii="Arial" w:hAnsi="Arial"/>
          <w:rtl w:val="0"/>
          <w:lang w:val="en-US"/>
        </w:rPr>
        <w:t>;</w:t>
      </w:r>
      <w:r>
        <w:rPr>
          <w:rStyle w:val="Aucun"/>
          <w:rFonts w:ascii="Arial" w:hAnsi="Arial"/>
          <w:rtl w:val="0"/>
          <w:lang w:val="fr-FR"/>
        </w:rPr>
        <w:t xml:space="preserve"> </w:t>
      </w:r>
      <w:r>
        <w:rPr>
          <w:rStyle w:val="Aucun"/>
          <w:rFonts w:ascii="Arial" w:hAnsi="Arial"/>
          <w:vertAlign w:val="superscript"/>
          <w:rtl w:val="0"/>
          <w:lang w:val="fr-FR"/>
        </w:rPr>
        <w:t>3</w:t>
      </w:r>
      <w:r>
        <w:rPr>
          <w:rStyle w:val="Aucun"/>
          <w:rFonts w:ascii="Arial" w:hAnsi="Arial"/>
          <w:rtl w:val="0"/>
          <w:lang w:val="fr-FR"/>
        </w:rPr>
        <w:t>European Synchrotron Radiation Facility, 71, Avenue des Martyrs, 38000 Grenoble, France</w:t>
      </w:r>
      <w:r>
        <w:rPr>
          <w:rStyle w:val="Aucun"/>
          <w:rFonts w:ascii="Arial" w:hAnsi="Arial"/>
          <w:rtl w:val="0"/>
          <w:lang w:val="fr-FR"/>
        </w:rPr>
        <w:t xml:space="preserve">; </w:t>
      </w:r>
      <w:r>
        <w:rPr>
          <w:rStyle w:val="Aucun"/>
          <w:rFonts w:ascii="Arial" w:hAnsi="Arial"/>
          <w:vertAlign w:val="superscript"/>
          <w:rtl w:val="0"/>
          <w:lang w:val="fr-FR"/>
        </w:rPr>
        <w:t>4</w:t>
      </w:r>
      <w:r>
        <w:rPr>
          <w:rStyle w:val="Aucun"/>
          <w:rFonts w:ascii="Arial" w:hAnsi="Arial"/>
          <w:rtl w:val="0"/>
          <w:lang w:val="en-US"/>
        </w:rPr>
        <w:t>Sorbonne Universit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en-US"/>
        </w:rPr>
        <w:t>, Institut de Min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en-US"/>
        </w:rPr>
        <w:t>ralogie, de Physique des Mat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en-US"/>
        </w:rPr>
        <w:t>riaux et de Cosmochimie, 4 place Jussieu, Paris 75005, France</w:t>
      </w:r>
    </w:p>
    <w:p>
      <w:pPr>
        <w:pStyle w:val="authoraffiliation"/>
        <w:rPr>
          <w:rStyle w:val="Aucun"/>
          <w:rFonts w:ascii="Arial" w:cs="Arial" w:hAnsi="Arial" w:eastAsia="Arial"/>
          <w:lang w:val="en-US"/>
        </w:rPr>
      </w:pPr>
    </w:p>
    <w:p>
      <w:pPr>
        <w:pStyle w:val="Titre 1"/>
        <w:rPr>
          <w:rStyle w:val="Aucun"/>
          <w:rFonts w:ascii="Arial" w:cs="Arial" w:hAnsi="Arial" w:eastAsia="Arial"/>
          <w:sz w:val="22"/>
          <w:szCs w:val="22"/>
          <w:lang w:val="en-US"/>
        </w:rPr>
      </w:pPr>
      <w:r>
        <w:rPr>
          <w:rStyle w:val="Aucun"/>
          <w:rFonts w:ascii="Arial" w:hAnsi="Arial"/>
          <w:sz w:val="22"/>
          <w:szCs w:val="22"/>
          <w:rtl w:val="0"/>
          <w:lang w:val="en-US"/>
        </w:rPr>
        <w:t>ABSTRACT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 w:after="240" w:line="240" w:lineRule="auto"/>
        <w:jc w:val="both"/>
        <w:rPr>
          <w:rStyle w:val="Aucun"/>
          <w:rFonts w:ascii="Arial" w:cs="Arial" w:hAnsi="Arial" w:eastAsia="Arial"/>
          <w:sz w:val="22"/>
          <w:szCs w:val="22"/>
        </w:rPr>
      </w:pPr>
      <w:r>
        <w:rPr>
          <w:rStyle w:val="Aucun"/>
          <w:rFonts w:ascii="Arial" w:cs="Arial" w:hAnsi="Arial" w:eastAsia="Arial"/>
          <w:sz w:val="22"/>
          <w:szCs w:val="22"/>
          <w:lang w:val="en-US"/>
        </w:rPr>
        <w:tab/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The supply of c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>ritical metals (e.g., REE, PGM, Nb, Ta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) is increasingly unstable due to the multiplication of conflicts and the growing demand of materials essential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for a wide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pan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 of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industries including weapons, artificial intelligence and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>low-carbon technologies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. To meet this demand and secure the supply,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primary extraction, processing, and recycling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have increased, resulting in substantially increased environmental fluxes of these elements</w:t>
      </w:r>
      <w:r>
        <w:rPr>
          <w:rStyle w:val="Aucun"/>
          <w:rFonts w:ascii="Arial" w:hAnsi="Arial"/>
          <w:sz w:val="22"/>
          <w:szCs w:val="22"/>
          <w:vertAlign w:val="superscript"/>
          <w:rtl w:val="0"/>
          <w:lang w:val="fr-FR"/>
        </w:rPr>
        <w:t>1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>.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However, as their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environmental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release is relatively recent, these elements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are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 considered emerging contaminants, for which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>their mobility and fate at the Earth</w:t>
      </w:r>
      <w:r>
        <w:rPr>
          <w:rStyle w:val="Aucun"/>
          <w:sz w:val="22"/>
          <w:szCs w:val="22"/>
          <w:rtl w:val="0"/>
          <w:lang w:val="en-US"/>
        </w:rPr>
        <w:t>’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>s surface remain poorly understood.</w:t>
      </w:r>
      <w:r>
        <w:rPr>
          <w:rStyle w:val="Aucun"/>
          <w:rFonts w:ascii="Arial" w:cs="Arial" w:hAnsi="Arial" w:eastAsia="Arial"/>
          <w:sz w:val="22"/>
          <w:szCs w:val="22"/>
          <w:lang w:val="en-US"/>
        </w:rPr>
        <w:br w:type="textWrapping"/>
        <w:tab/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The critical zone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 constitute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s a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 major reservoir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for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 critical metals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. In particular, weathered regoliths such as laterites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represent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open-field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 laboratories for investigating their long-term geochemical cycling under intense weathering conditions.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Nonetheless, the mineralogical and geochemical processes controlling the dynamics of critical metals remain largely unknown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>because these elements are commonly hosted by scarce, poorly crystalline, and submicrometric mineral phases that are difficult to characterize using conventional analytical techniques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.</w:t>
      </w:r>
      <w:r>
        <w:rPr>
          <w:rStyle w:val="Aucun"/>
          <w:rFonts w:ascii="Arial" w:cs="Arial" w:hAnsi="Arial" w:eastAsia="Arial"/>
          <w:sz w:val="22"/>
          <w:szCs w:val="22"/>
          <w:lang w:val="en-US"/>
        </w:rPr>
        <w:br w:type="textWrapping"/>
        <w:tab/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To tackle this issue, our team developed a molecular-scale approach funded on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X-ray Absorption Fine Structure (XAFS) spectroscopy at synchrotron facilities to determine the speciation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of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>critical metals in lateritic systems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, i.e. the distribution of metals in mineral phases as well as their local atomic environment. Our work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on a selection of critical metals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showed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their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extensive redistribution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during weathering,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>from primary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magmatic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 minerals to secondary phosphates, oxides, and oxyhydroxides</w:t>
      </w:r>
      <w:r>
        <w:rPr>
          <w:rStyle w:val="Aucun"/>
          <w:rFonts w:ascii="Arial" w:hAnsi="Arial"/>
          <w:sz w:val="22"/>
          <w:szCs w:val="22"/>
          <w:vertAlign w:val="superscript"/>
          <w:rtl w:val="0"/>
          <w:lang w:val="fr-FR"/>
        </w:rPr>
        <w:t>2,3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>.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The sensitivity of XAFS revealed the binding mechanisms of these metals, which are either structurally incorporated or adsorbed, depending on the intrinsic geochemical properties of the metal</w:t>
      </w:r>
      <w:r>
        <w:rPr>
          <w:rStyle w:val="Aucun"/>
          <w:rFonts w:ascii="Arial" w:hAnsi="Arial"/>
          <w:sz w:val="22"/>
          <w:szCs w:val="22"/>
          <w:vertAlign w:val="superscript"/>
          <w:rtl w:val="0"/>
          <w:lang w:val="fr-FR"/>
        </w:rPr>
        <w:t>4,5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. Although they are poorly concentrated in metals or occurring as nanometric phases, these secondary minerals control the fate of critical metals in the environment.</w:t>
      </w:r>
      <w:r>
        <w:rPr>
          <w:rStyle w:val="Aucun"/>
          <w:rFonts w:ascii="Arial" w:cs="Arial" w:hAnsi="Arial" w:eastAsia="Arial"/>
          <w:sz w:val="22"/>
          <w:szCs w:val="22"/>
          <w:lang w:val="en-US"/>
        </w:rPr>
        <w:br w:type="textWrapping"/>
        <w:tab/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As the use of these elements continues to expand rapidly, understanding their mineralogical controls is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fundamental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 for predicting their environmental fate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 xml:space="preserve"> and help assess their ecotoxicity. </w:t>
      </w:r>
      <w:r>
        <w:rPr>
          <w:rStyle w:val="Aucun"/>
          <w:rFonts w:ascii="Arial" w:hAnsi="Arial"/>
          <w:sz w:val="22"/>
          <w:szCs w:val="22"/>
          <w:rtl w:val="0"/>
          <w:lang w:val="en-US"/>
        </w:rPr>
        <w:t xml:space="preserve">In particular, </w:t>
      </w:r>
      <w:r>
        <w:rPr>
          <w:rStyle w:val="Aucun"/>
          <w:rFonts w:ascii="Arial" w:hAnsi="Arial"/>
          <w:sz w:val="22"/>
          <w:szCs w:val="22"/>
          <w:rtl w:val="0"/>
          <w:lang w:val="fr-FR"/>
        </w:rPr>
        <w:t>this work contributes to assess the potential of mineral phases to scavenge these metals and effectively limit their concentrations and bioavailability in ecosystems.</w:t>
      </w:r>
    </w:p>
    <w:p>
      <w:pPr>
        <w:pStyle w:val="paragraph"/>
        <w:rPr>
          <w:rStyle w:val="Aucun"/>
          <w:rFonts w:ascii="Arial" w:cs="Arial" w:hAnsi="Arial" w:eastAsia="Arial"/>
          <w:sz w:val="22"/>
          <w:szCs w:val="22"/>
          <w:lang w:val="en-US"/>
        </w:rPr>
      </w:pPr>
      <w:r>
        <w:rPr>
          <w:rStyle w:val="Aucun"/>
          <w:rFonts w:ascii="Arial" w:hAnsi="Arial" w:hint="default"/>
          <w:sz w:val="22"/>
          <w:szCs w:val="22"/>
          <w:rtl w:val="0"/>
          <w:lang w:val="en-US"/>
        </w:rPr>
        <w:t> </w:t>
      </w:r>
    </w:p>
    <w:p>
      <w:pPr>
        <w:pStyle w:val="paragraph"/>
        <w:rPr>
          <w:rStyle w:val="Aucun"/>
          <w:rFonts w:ascii="Arial" w:cs="Arial" w:hAnsi="Arial" w:eastAsia="Arial"/>
          <w:sz w:val="22"/>
          <w:szCs w:val="22"/>
          <w:lang w:val="en-US"/>
        </w:rPr>
      </w:pPr>
      <w:r>
        <w:rPr>
          <w:rStyle w:val="Aucun"/>
          <w:rFonts w:ascii="Arial" w:hAnsi="Arial" w:hint="default"/>
          <w:sz w:val="22"/>
          <w:szCs w:val="22"/>
          <w:rtl w:val="0"/>
          <w:lang w:val="en-US"/>
        </w:rPr>
        <w:t> </w:t>
      </w:r>
    </w:p>
    <w:p>
      <w:pPr>
        <w:pStyle w:val="Titre 1"/>
        <w:rPr>
          <w:rStyle w:val="Aucun"/>
          <w:rFonts w:ascii="Arial" w:cs="Arial" w:hAnsi="Arial" w:eastAsia="Arial"/>
          <w:caps w:val="0"/>
          <w:smallCaps w:val="0"/>
          <w:outline w:val="0"/>
          <w:color w:val="0000ff"/>
          <w:sz w:val="22"/>
          <w:szCs w:val="22"/>
          <w:u w:color="0000ff"/>
          <w:lang w:val="en-US"/>
          <w14:textFill>
            <w14:solidFill>
              <w14:srgbClr w14:val="0000FF"/>
            </w14:solidFill>
          </w14:textFill>
        </w:rPr>
      </w:pPr>
      <w:r>
        <w:rPr>
          <w:rStyle w:val="Aucun"/>
          <w:rFonts w:ascii="Arial" w:hAnsi="Arial"/>
          <w:sz w:val="22"/>
          <w:szCs w:val="22"/>
          <w:rtl w:val="0"/>
          <w:lang w:val="en-US"/>
        </w:rPr>
        <w:t>References</w:t>
      </w:r>
    </w:p>
    <w:p>
      <w:pPr>
        <w:pStyle w:val="reference"/>
        <w:rPr>
          <w:rStyle w:val="Aucun"/>
          <w:rFonts w:ascii="Arial" w:cs="Arial" w:hAnsi="Arial" w:eastAsia="Arial"/>
          <w:sz w:val="15"/>
          <w:szCs w:val="15"/>
        </w:rPr>
      </w:pPr>
      <w:r>
        <w:rPr>
          <w:rStyle w:val="Aucun"/>
          <w:rFonts w:ascii="Arial" w:hAnsi="Arial"/>
          <w:sz w:val="15"/>
          <w:szCs w:val="15"/>
          <w:rtl w:val="0"/>
          <w:lang w:val="en-US"/>
        </w:rPr>
        <w:t>1.</w:t>
      </w:r>
      <w:r>
        <w:rPr>
          <w:rStyle w:val="Aucun"/>
          <w:rFonts w:ascii="Arial" w:hAnsi="Arial" w:hint="default"/>
          <w:sz w:val="15"/>
          <w:szCs w:val="15"/>
          <w:rtl w:val="0"/>
          <w:lang w:val="en-US"/>
        </w:rPr>
        <w:t>  </w:t>
      </w:r>
      <w:r>
        <w:rPr>
          <w:rStyle w:val="Aucun"/>
          <w:rFonts w:ascii="Arial" w:hAnsi="Arial"/>
          <w:sz w:val="15"/>
          <w:szCs w:val="15"/>
          <w:rtl w:val="0"/>
          <w:lang w:val="en-US"/>
        </w:rPr>
        <w:t xml:space="preserve">V. Hatje </w:t>
      </w:r>
      <w:r>
        <w:rPr>
          <w:rStyle w:val="Aucun"/>
          <w:rFonts w:ascii="Arial" w:hAnsi="Arial"/>
          <w:i w:val="1"/>
          <w:iCs w:val="1"/>
          <w:sz w:val="15"/>
          <w:szCs w:val="15"/>
          <w:rtl w:val="0"/>
          <w:lang w:val="fr-FR"/>
        </w:rPr>
        <w:t>et al</w:t>
      </w:r>
      <w:r>
        <w:rPr>
          <w:rStyle w:val="Aucun"/>
          <w:rFonts w:ascii="Arial" w:hAnsi="Arial"/>
          <w:sz w:val="15"/>
          <w:szCs w:val="15"/>
          <w:rtl w:val="0"/>
          <w:lang w:val="en-US"/>
        </w:rPr>
        <w:t>., Global Biogeochemical Cycles, 38(6) (2024).</w:t>
      </w:r>
    </w:p>
    <w:p>
      <w:pPr>
        <w:pStyle w:val="reference"/>
        <w:rPr>
          <w:rStyle w:val="Aucun"/>
          <w:rFonts w:ascii="Arial" w:cs="Arial" w:hAnsi="Arial" w:eastAsia="Arial"/>
          <w:sz w:val="15"/>
          <w:szCs w:val="15"/>
        </w:rPr>
      </w:pPr>
      <w:bookmarkStart w:name="Name1" w:id="0"/>
      <w:bookmarkEnd w:id="0"/>
      <w:r>
        <w:rPr>
          <w:rStyle w:val="Aucun"/>
          <w:rFonts w:ascii="Arial" w:hAnsi="Arial"/>
          <w:sz w:val="15"/>
          <w:szCs w:val="15"/>
          <w:rtl w:val="0"/>
          <w:lang w:val="en-US"/>
        </w:rPr>
        <w:t>2</w:t>
      </w:r>
      <w:r>
        <w:rPr>
          <w:rStyle w:val="Aucun"/>
          <w:rFonts w:ascii="Arial" w:hAnsi="Arial"/>
          <w:sz w:val="15"/>
          <w:szCs w:val="15"/>
          <w:rtl w:val="0"/>
          <w:lang w:val="en-US"/>
        </w:rPr>
        <w:t>.</w:t>
      </w:r>
      <w:r>
        <w:rPr>
          <w:rStyle w:val="Aucun"/>
          <w:rFonts w:ascii="Arial" w:hAnsi="Arial" w:hint="default"/>
          <w:sz w:val="15"/>
          <w:szCs w:val="15"/>
          <w:rtl w:val="0"/>
          <w:lang w:val="en-US"/>
        </w:rPr>
        <w:t> </w:t>
      </w:r>
      <w:r>
        <w:rPr>
          <w:rStyle w:val="Aucun"/>
          <w:rFonts w:ascii="Arial" w:hAnsi="Arial"/>
          <w:sz w:val="15"/>
          <w:szCs w:val="15"/>
          <w:rtl w:val="0"/>
          <w:lang w:val="en-US"/>
        </w:rPr>
        <w:t>M. Chass</w:t>
      </w:r>
      <w:r>
        <w:rPr>
          <w:rStyle w:val="Aucun"/>
          <w:rFonts w:ascii="Arial" w:hAnsi="Arial" w:hint="default"/>
          <w:sz w:val="15"/>
          <w:szCs w:val="15"/>
          <w:rtl w:val="0"/>
          <w:lang w:val="en-US"/>
        </w:rPr>
        <w:t xml:space="preserve">é </w:t>
      </w:r>
      <w:r>
        <w:rPr>
          <w:rStyle w:val="Aucun"/>
          <w:rFonts w:ascii="Arial" w:hAnsi="Arial"/>
          <w:i w:val="1"/>
          <w:iCs w:val="1"/>
          <w:sz w:val="15"/>
          <w:szCs w:val="15"/>
          <w:rtl w:val="0"/>
          <w:lang w:val="fr-FR"/>
        </w:rPr>
        <w:t>et al.</w:t>
      </w:r>
      <w:r>
        <w:rPr>
          <w:rStyle w:val="Aucun"/>
          <w:rFonts w:ascii="Arial" w:hAnsi="Arial"/>
          <w:sz w:val="15"/>
          <w:szCs w:val="15"/>
          <w:rtl w:val="0"/>
          <w:lang w:val="en-US"/>
        </w:rPr>
        <w:t>, Geochimica et Cosmochimica Acta, 260, 292-310 (2019).</w:t>
      </w:r>
    </w:p>
    <w:p>
      <w:pPr>
        <w:pStyle w:val="reference"/>
        <w:rPr>
          <w:rStyle w:val="Aucun"/>
          <w:rFonts w:ascii="Arial" w:cs="Arial" w:hAnsi="Arial" w:eastAsia="Arial"/>
          <w:sz w:val="15"/>
          <w:szCs w:val="15"/>
        </w:rPr>
      </w:pPr>
      <w:r>
        <w:rPr>
          <w:rStyle w:val="Aucun"/>
          <w:rFonts w:ascii="Arial" w:hAnsi="Arial"/>
          <w:sz w:val="15"/>
          <w:szCs w:val="15"/>
          <w:rtl w:val="0"/>
          <w:lang w:val="en-US"/>
        </w:rPr>
        <w:t xml:space="preserve">3. Q. Bollaert </w:t>
      </w:r>
      <w:r>
        <w:rPr>
          <w:rStyle w:val="Aucun"/>
          <w:rFonts w:ascii="Arial" w:hAnsi="Arial"/>
          <w:i w:val="1"/>
          <w:iCs w:val="1"/>
          <w:sz w:val="15"/>
          <w:szCs w:val="15"/>
          <w:rtl w:val="0"/>
          <w:lang w:val="fr-FR"/>
        </w:rPr>
        <w:t>et al.</w:t>
      </w:r>
      <w:r>
        <w:rPr>
          <w:rStyle w:val="Aucun"/>
          <w:rFonts w:ascii="Arial" w:hAnsi="Arial"/>
          <w:sz w:val="15"/>
          <w:szCs w:val="15"/>
          <w:rtl w:val="0"/>
          <w:lang w:val="en-US"/>
        </w:rPr>
        <w:t>, Geochimica et Cosmochimica Acta, 353, 142-157 (2023).</w:t>
      </w:r>
    </w:p>
    <w:p>
      <w:pPr>
        <w:pStyle w:val="reference"/>
        <w:rPr>
          <w:rStyle w:val="Aucun"/>
          <w:rFonts w:ascii="Arial" w:cs="Arial" w:hAnsi="Arial" w:eastAsia="Arial"/>
          <w:sz w:val="15"/>
          <w:szCs w:val="15"/>
        </w:rPr>
      </w:pPr>
      <w:r>
        <w:rPr>
          <w:rStyle w:val="Aucun"/>
          <w:rFonts w:ascii="Arial" w:hAnsi="Arial"/>
          <w:sz w:val="15"/>
          <w:szCs w:val="15"/>
          <w:rtl w:val="0"/>
          <w:lang w:val="en-US"/>
        </w:rPr>
        <w:t>4. M. Chass</w:t>
      </w:r>
      <w:r>
        <w:rPr>
          <w:rStyle w:val="Aucun"/>
          <w:rFonts w:ascii="Arial" w:hAnsi="Arial" w:hint="default"/>
          <w:sz w:val="15"/>
          <w:szCs w:val="15"/>
          <w:rtl w:val="0"/>
          <w:lang w:val="en-US"/>
        </w:rPr>
        <w:t xml:space="preserve">é </w:t>
      </w:r>
      <w:r>
        <w:rPr>
          <w:rStyle w:val="Aucun"/>
          <w:rFonts w:ascii="Arial" w:hAnsi="Arial"/>
          <w:i w:val="1"/>
          <w:iCs w:val="1"/>
          <w:sz w:val="15"/>
          <w:szCs w:val="15"/>
          <w:rtl w:val="0"/>
          <w:lang w:val="fr-FR"/>
        </w:rPr>
        <w:t>et al.</w:t>
      </w:r>
      <w:r>
        <w:rPr>
          <w:rStyle w:val="Aucun"/>
          <w:rFonts w:ascii="Arial" w:hAnsi="Arial"/>
          <w:sz w:val="15"/>
          <w:szCs w:val="15"/>
          <w:rtl w:val="0"/>
          <w:lang w:val="en-US"/>
        </w:rPr>
        <w:t>,  American Mineralogist, 105(7), 1099-1103 (2020).</w:t>
      </w:r>
    </w:p>
    <w:p>
      <w:pPr>
        <w:pStyle w:val="reference"/>
      </w:pPr>
      <w:r>
        <w:rPr>
          <w:rStyle w:val="Aucun"/>
          <w:rFonts w:ascii="Arial" w:hAnsi="Arial"/>
          <w:sz w:val="15"/>
          <w:szCs w:val="15"/>
          <w:rtl w:val="0"/>
          <w:lang w:val="en-US"/>
        </w:rPr>
        <w:t xml:space="preserve">5. Q. Bollaert </w:t>
      </w:r>
      <w:r>
        <w:rPr>
          <w:rStyle w:val="Aucun"/>
          <w:rFonts w:ascii="Arial" w:hAnsi="Arial"/>
          <w:i w:val="1"/>
          <w:iCs w:val="1"/>
          <w:sz w:val="15"/>
          <w:szCs w:val="15"/>
          <w:rtl w:val="0"/>
          <w:lang w:val="fr-FR"/>
        </w:rPr>
        <w:t>et al.</w:t>
      </w:r>
      <w:r>
        <w:rPr>
          <w:rStyle w:val="Aucun"/>
          <w:rFonts w:ascii="Arial" w:hAnsi="Arial"/>
          <w:sz w:val="15"/>
          <w:szCs w:val="15"/>
          <w:rtl w:val="0"/>
          <w:lang w:val="fr-FR"/>
        </w:rPr>
        <w:t>,</w:t>
      </w:r>
      <w:r>
        <w:rPr>
          <w:rStyle w:val="Aucun"/>
          <w:rFonts w:ascii="Arial" w:hAnsi="Arial"/>
          <w:sz w:val="15"/>
          <w:szCs w:val="15"/>
          <w:rtl w:val="0"/>
          <w:lang w:val="en-US"/>
        </w:rPr>
        <w:t xml:space="preserve"> European Journal of Mineralogy, 36(1), 55-72 (2024).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pertitle">
    <w:name w:val="papertitle"/>
    <w:next w:val="paper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96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  <w:style w:type="paragraph" w:styleId="paperauthor">
    <w:name w:val="paperauthor"/>
    <w:next w:val="paperautho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60" w:after="36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authoraffiliation">
    <w:name w:val="authoraffiliation"/>
    <w:next w:val="authoraffilia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Titre 1">
    <w:name w:val="Titre 1"/>
    <w:next w:val="Titre 1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36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274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reference">
    <w:name w:val="reference"/>
    <w:next w:val="referenc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274" w:right="0" w:hanging="274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