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8A5EE" w14:textId="4A12E44B" w:rsidR="00E73FA0" w:rsidRPr="00913D22" w:rsidRDefault="00E73FA0" w:rsidP="003B00A4">
      <w:pPr>
        <w:pStyle w:val="papertitle"/>
        <w:spacing w:before="720"/>
        <w:rPr>
          <w:rFonts w:ascii="Arial" w:hAnsi="Arial" w:cs="Arial"/>
          <w:sz w:val="28"/>
          <w:szCs w:val="28"/>
          <w:lang w:val="en-GB"/>
        </w:rPr>
      </w:pPr>
      <w:r w:rsidRPr="00E73FA0">
        <w:rPr>
          <w:rFonts w:ascii="Arial" w:hAnsi="Arial" w:cs="Arial"/>
          <w:lang w:val="en-GB"/>
        </w:rPr>
        <w:t>Evolution of Synchrotron XAS for Heterogeneous Catalysis:</w:t>
      </w:r>
      <w:r>
        <w:rPr>
          <w:rFonts w:ascii="Arial" w:hAnsi="Arial" w:cs="Arial"/>
          <w:lang w:val="en-GB"/>
        </w:rPr>
        <w:t xml:space="preserve"> </w:t>
      </w:r>
      <w:r w:rsidRPr="00E73FA0">
        <w:rPr>
          <w:rFonts w:ascii="Arial" w:hAnsi="Arial" w:cs="Arial"/>
          <w:i/>
          <w:iCs/>
          <w:lang w:val="en-GB"/>
        </w:rPr>
        <w:t>From early studies to operando strategies and data analysis, at IFPE</w:t>
      </w:r>
      <w:r w:rsidRPr="00E73FA0">
        <w:rPr>
          <w:rFonts w:ascii="Arial" w:hAnsi="Arial" w:cs="Arial"/>
          <w:lang w:val="en-GB"/>
        </w:rPr>
        <w:t>N</w:t>
      </w:r>
    </w:p>
    <w:p w14:paraId="345A795A" w14:textId="10D67770" w:rsidR="005166FE" w:rsidRPr="00B14C50" w:rsidRDefault="00E73FA0" w:rsidP="005166FE">
      <w:pPr>
        <w:pStyle w:val="paperauthor"/>
        <w:rPr>
          <w:rFonts w:ascii="Arial" w:hAnsi="Arial" w:cs="Arial"/>
          <w:sz w:val="20"/>
          <w:szCs w:val="20"/>
        </w:rPr>
      </w:pPr>
      <w:r w:rsidRPr="00B14C50">
        <w:rPr>
          <w:rFonts w:ascii="Arial" w:hAnsi="Arial" w:cs="Arial"/>
        </w:rPr>
        <w:t>Christèle Legens</w:t>
      </w:r>
    </w:p>
    <w:p w14:paraId="091F249E" w14:textId="040A9111" w:rsidR="005166FE" w:rsidRPr="00584EEC" w:rsidRDefault="00584EEC" w:rsidP="005166FE">
      <w:pPr>
        <w:pStyle w:val="authoraffiliation"/>
        <w:rPr>
          <w:rFonts w:ascii="Arial" w:hAnsi="Arial" w:cs="Arial"/>
        </w:rPr>
      </w:pPr>
      <w:r w:rsidRPr="00584EEC">
        <w:rPr>
          <w:rFonts w:ascii="Arial" w:hAnsi="Arial" w:cs="Arial"/>
        </w:rPr>
        <w:t>Christèle Legens, IFP</w:t>
      </w:r>
      <w:r>
        <w:rPr>
          <w:rFonts w:ascii="Arial" w:hAnsi="Arial" w:cs="Arial"/>
        </w:rPr>
        <w:t xml:space="preserve"> Energies Nouvelles, </w:t>
      </w:r>
      <w:r w:rsidRPr="00584EEC">
        <w:rPr>
          <w:rFonts w:ascii="Arial" w:hAnsi="Arial" w:cs="Arial"/>
        </w:rPr>
        <w:t>Rond-point de l'échangeur de Solaize, BP 3, 69360 Solaiz</w:t>
      </w:r>
      <w:r>
        <w:rPr>
          <w:rFonts w:ascii="Arial" w:hAnsi="Arial" w:cs="Arial"/>
        </w:rPr>
        <w:t>e, France</w:t>
      </w:r>
    </w:p>
    <w:p w14:paraId="00DD6FB3" w14:textId="77777777" w:rsidR="00584EEC" w:rsidRPr="00B14C50" w:rsidRDefault="00584EEC" w:rsidP="00DB66A8">
      <w:pPr>
        <w:jc w:val="both"/>
        <w:rPr>
          <w:rFonts w:ascii="Arial" w:hAnsi="Arial" w:cs="Arial"/>
          <w:sz w:val="22"/>
          <w:szCs w:val="22"/>
        </w:rPr>
      </w:pPr>
    </w:p>
    <w:p w14:paraId="0DA10BAB" w14:textId="11DD598A" w:rsidR="00584EEC" w:rsidRPr="008C7867" w:rsidRDefault="00DB66A8" w:rsidP="00DB66A8">
      <w:pPr>
        <w:jc w:val="both"/>
        <w:rPr>
          <w:rFonts w:ascii="Arial" w:hAnsi="Arial" w:cs="Arial"/>
          <w:sz w:val="8"/>
          <w:szCs w:val="8"/>
          <w:lang w:val="en-GB"/>
        </w:rPr>
      </w:pPr>
      <w:r w:rsidRPr="00DB66A8">
        <w:rPr>
          <w:rFonts w:ascii="Arial" w:hAnsi="Arial" w:cs="Arial"/>
          <w:sz w:val="22"/>
          <w:szCs w:val="22"/>
          <w:lang w:val="en-GB"/>
        </w:rPr>
        <w:t xml:space="preserve">Over the past twenty years, X-ray absorption spectroscopy (XAS) has progressively evolved from a conventional characterization technique into a powerful tool for understanding heterogeneous catalysts under increasingly realistic conditions. This presentation illustrates this evolution through research carried out at IFPEN on molybdenum disulfide-based catalysts, with a particular focus on </w:t>
      </w:r>
      <w:proofErr w:type="spellStart"/>
      <w:r w:rsidRPr="00DB66A8">
        <w:rPr>
          <w:rFonts w:ascii="Arial" w:hAnsi="Arial" w:cs="Arial"/>
          <w:sz w:val="22"/>
          <w:szCs w:val="22"/>
          <w:lang w:val="en-GB"/>
        </w:rPr>
        <w:t>CoMo</w:t>
      </w:r>
      <w:proofErr w:type="spellEnd"/>
      <w:r w:rsidRPr="00DB66A8">
        <w:rPr>
          <w:rFonts w:ascii="Arial" w:hAnsi="Arial" w:cs="Arial"/>
          <w:sz w:val="22"/>
          <w:szCs w:val="22"/>
          <w:lang w:val="en-GB"/>
        </w:rPr>
        <w:t xml:space="preserve"> systems used for hydrodesulfurization (HDS). The development of more efficient HDS catalysts requires a detailed understanding of their activation, the formation of the active phase, their behaviour under operating conditions, and their deactivation mechanisms. XAS is particularly well suited to address </w:t>
      </w:r>
      <w:r w:rsidR="00584EEC">
        <w:rPr>
          <w:rFonts w:ascii="Arial" w:hAnsi="Arial" w:cs="Arial"/>
          <w:sz w:val="22"/>
          <w:szCs w:val="22"/>
          <w:lang w:val="en-GB"/>
        </w:rPr>
        <w:t>some of these</w:t>
      </w:r>
      <w:r w:rsidRPr="00DB66A8">
        <w:rPr>
          <w:rFonts w:ascii="Arial" w:hAnsi="Arial" w:cs="Arial"/>
          <w:sz w:val="22"/>
          <w:szCs w:val="22"/>
          <w:lang w:val="en-GB"/>
        </w:rPr>
        <w:t xml:space="preserve"> questions because </w:t>
      </w:r>
      <w:r w:rsidR="008C7867">
        <w:rPr>
          <w:rFonts w:ascii="Arial" w:hAnsi="Arial" w:cs="Arial"/>
          <w:sz w:val="22"/>
          <w:szCs w:val="22"/>
          <w:lang w:val="en-GB"/>
        </w:rPr>
        <w:t>providing</w:t>
      </w:r>
      <w:r w:rsidR="00584EEC">
        <w:rPr>
          <w:rFonts w:ascii="Arial" w:hAnsi="Arial" w:cs="Arial"/>
          <w:sz w:val="22"/>
          <w:szCs w:val="22"/>
          <w:lang w:val="en-GB"/>
        </w:rPr>
        <w:t xml:space="preserve"> local</w:t>
      </w:r>
      <w:r w:rsidRPr="00DB66A8">
        <w:rPr>
          <w:rFonts w:ascii="Arial" w:hAnsi="Arial" w:cs="Arial"/>
          <w:sz w:val="22"/>
          <w:szCs w:val="22"/>
          <w:lang w:val="en-GB"/>
        </w:rPr>
        <w:t xml:space="preserve"> element-specific </w:t>
      </w:r>
      <w:r w:rsidR="00584EEC">
        <w:rPr>
          <w:rFonts w:ascii="Arial" w:hAnsi="Arial" w:cs="Arial"/>
          <w:sz w:val="22"/>
          <w:szCs w:val="22"/>
          <w:lang w:val="en-GB"/>
        </w:rPr>
        <w:t>electronic and structural</w:t>
      </w:r>
      <w:r w:rsidRPr="00DB66A8">
        <w:rPr>
          <w:rFonts w:ascii="Arial" w:hAnsi="Arial" w:cs="Arial"/>
          <w:sz w:val="22"/>
          <w:szCs w:val="22"/>
          <w:lang w:val="en-GB"/>
        </w:rPr>
        <w:t xml:space="preserve"> information </w:t>
      </w:r>
      <w:r w:rsidR="008C7867" w:rsidRPr="008C7867">
        <w:rPr>
          <w:rFonts w:ascii="Arial" w:hAnsi="Arial" w:cs="Arial"/>
          <w:sz w:val="22"/>
          <w:szCs w:val="22"/>
          <w:lang w:val="en-GB"/>
        </w:rPr>
        <w:t>while offering the possibility of in situ and operando measurements.</w:t>
      </w:r>
    </w:p>
    <w:p w14:paraId="7D628F9F" w14:textId="484CAAC6" w:rsidR="008C7867" w:rsidRDefault="008C7867" w:rsidP="00913D22">
      <w:pPr>
        <w:jc w:val="both"/>
        <w:rPr>
          <w:rFonts w:ascii="Arial" w:hAnsi="Arial" w:cs="Arial"/>
          <w:sz w:val="22"/>
          <w:szCs w:val="22"/>
          <w:lang w:val="en-GB"/>
        </w:rPr>
      </w:pPr>
      <w:r>
        <w:rPr>
          <w:rFonts w:ascii="Arial" w:hAnsi="Arial" w:cs="Arial"/>
          <w:sz w:val="22"/>
          <w:szCs w:val="22"/>
          <w:lang w:val="en-GB"/>
        </w:rPr>
        <w:t>Early</w:t>
      </w:r>
      <w:r w:rsidR="00DB66A8" w:rsidRPr="00DB66A8">
        <w:rPr>
          <w:rFonts w:ascii="Arial" w:hAnsi="Arial" w:cs="Arial"/>
          <w:sz w:val="22"/>
          <w:szCs w:val="22"/>
          <w:lang w:val="en-GB"/>
        </w:rPr>
        <w:t xml:space="preserve"> developments focused on monitoring the activation of supported </w:t>
      </w:r>
      <w:proofErr w:type="spellStart"/>
      <w:r w:rsidR="00DB66A8" w:rsidRPr="00DB66A8">
        <w:rPr>
          <w:rFonts w:ascii="Arial" w:hAnsi="Arial" w:cs="Arial"/>
          <w:sz w:val="22"/>
          <w:szCs w:val="22"/>
          <w:lang w:val="en-GB"/>
        </w:rPr>
        <w:t>CoMo</w:t>
      </w:r>
      <w:proofErr w:type="spellEnd"/>
      <w:r w:rsidR="00DB66A8" w:rsidRPr="00DB66A8">
        <w:rPr>
          <w:rFonts w:ascii="Arial" w:hAnsi="Arial" w:cs="Arial"/>
          <w:sz w:val="22"/>
          <w:szCs w:val="22"/>
          <w:lang w:val="en-GB"/>
        </w:rPr>
        <w:t xml:space="preserve"> catalysts during </w:t>
      </w:r>
      <w:r w:rsidR="00584EEC">
        <w:rPr>
          <w:rFonts w:ascii="Arial" w:hAnsi="Arial" w:cs="Arial"/>
          <w:sz w:val="22"/>
          <w:szCs w:val="22"/>
          <w:lang w:val="en-GB"/>
        </w:rPr>
        <w:t xml:space="preserve">gaseous </w:t>
      </w:r>
      <w:r w:rsidR="00DB66A8" w:rsidRPr="00DB66A8">
        <w:rPr>
          <w:rFonts w:ascii="Arial" w:hAnsi="Arial" w:cs="Arial"/>
          <w:sz w:val="22"/>
          <w:szCs w:val="22"/>
          <w:lang w:val="en-GB"/>
        </w:rPr>
        <w:t>sulfidation</w:t>
      </w:r>
      <w:r w:rsidR="00913D22" w:rsidRPr="00913D22">
        <w:rPr>
          <w:rFonts w:ascii="Arial" w:hAnsi="Arial" w:cs="Arial"/>
          <w:sz w:val="22"/>
          <w:szCs w:val="22"/>
          <w:vertAlign w:val="superscript"/>
          <w:lang w:val="en-GB"/>
        </w:rPr>
        <w:t>1</w:t>
      </w:r>
      <w:r w:rsidR="00DB66A8" w:rsidRPr="00DB66A8">
        <w:rPr>
          <w:rFonts w:ascii="Arial" w:hAnsi="Arial" w:cs="Arial"/>
          <w:sz w:val="22"/>
          <w:szCs w:val="22"/>
          <w:lang w:val="en-GB"/>
        </w:rPr>
        <w:t xml:space="preserve">. Using Quick-XAS and simultaneous measurements at the Mo and Co K-edges, the transformation of oxide precursors into </w:t>
      </w:r>
      <w:proofErr w:type="spellStart"/>
      <w:r w:rsidR="00DB66A8" w:rsidRPr="00DB66A8">
        <w:rPr>
          <w:rFonts w:ascii="Arial" w:hAnsi="Arial" w:cs="Arial"/>
          <w:sz w:val="22"/>
          <w:szCs w:val="22"/>
          <w:lang w:val="en-GB"/>
        </w:rPr>
        <w:t>sulfide</w:t>
      </w:r>
      <w:proofErr w:type="spellEnd"/>
      <w:r w:rsidR="00DB66A8" w:rsidRPr="00DB66A8">
        <w:rPr>
          <w:rFonts w:ascii="Arial" w:hAnsi="Arial" w:cs="Arial"/>
          <w:sz w:val="22"/>
          <w:szCs w:val="22"/>
          <w:lang w:val="en-GB"/>
        </w:rPr>
        <w:t xml:space="preserve"> species was followed in real time. These experiments revealed intermediate Mo oxysulfide species and highlighted the simultaneous sulfidation of cobalt and molybdenum as an important step in the formation of the active </w:t>
      </w:r>
      <w:proofErr w:type="spellStart"/>
      <w:r w:rsidR="00DB66A8" w:rsidRPr="00DB66A8">
        <w:rPr>
          <w:rFonts w:ascii="Arial" w:hAnsi="Arial" w:cs="Arial"/>
          <w:sz w:val="22"/>
          <w:szCs w:val="22"/>
          <w:lang w:val="en-GB"/>
        </w:rPr>
        <w:t>CoMoS</w:t>
      </w:r>
      <w:proofErr w:type="spellEnd"/>
      <w:r w:rsidR="00DB66A8" w:rsidRPr="00DB66A8">
        <w:rPr>
          <w:rFonts w:ascii="Arial" w:hAnsi="Arial" w:cs="Arial"/>
          <w:sz w:val="22"/>
          <w:szCs w:val="22"/>
          <w:lang w:val="en-GB"/>
        </w:rPr>
        <w:t xml:space="preserve"> phase. A high-pressure reactor was subsequently developed to reproduce industrial liquid-phase sulfidation conditions</w:t>
      </w:r>
      <w:r w:rsidR="00913D22" w:rsidRPr="00913D22">
        <w:rPr>
          <w:rFonts w:ascii="Arial" w:hAnsi="Arial" w:cs="Arial"/>
          <w:sz w:val="22"/>
          <w:szCs w:val="22"/>
          <w:vertAlign w:val="superscript"/>
          <w:lang w:val="en-GB"/>
        </w:rPr>
        <w:t>2</w:t>
      </w:r>
      <w:r w:rsidR="00DB66A8" w:rsidRPr="00DB66A8">
        <w:rPr>
          <w:rFonts w:ascii="Arial" w:hAnsi="Arial" w:cs="Arial"/>
          <w:sz w:val="22"/>
          <w:szCs w:val="22"/>
          <w:lang w:val="en-GB"/>
        </w:rPr>
        <w:t>. Coupled with chemometric approaches such as principal component analysis and multivariate curve resolution</w:t>
      </w:r>
      <w:r>
        <w:rPr>
          <w:rFonts w:ascii="Arial" w:hAnsi="Arial" w:cs="Arial"/>
          <w:sz w:val="22"/>
          <w:szCs w:val="22"/>
          <w:lang w:val="en-GB"/>
        </w:rPr>
        <w:t xml:space="preserve"> (MCR-ALS)</w:t>
      </w:r>
      <w:r w:rsidR="00DB66A8" w:rsidRPr="00DB66A8">
        <w:rPr>
          <w:rFonts w:ascii="Arial" w:hAnsi="Arial" w:cs="Arial"/>
          <w:sz w:val="22"/>
          <w:szCs w:val="22"/>
          <w:lang w:val="en-GB"/>
        </w:rPr>
        <w:t xml:space="preserve">, XAS enabled the identification of different activation pathways depending on the supply of the </w:t>
      </w:r>
      <w:proofErr w:type="spellStart"/>
      <w:r w:rsidR="00DB66A8" w:rsidRPr="00DB66A8">
        <w:rPr>
          <w:rFonts w:ascii="Arial" w:hAnsi="Arial" w:cs="Arial"/>
          <w:sz w:val="22"/>
          <w:szCs w:val="22"/>
          <w:lang w:val="en-GB"/>
        </w:rPr>
        <w:t>sulfiding</w:t>
      </w:r>
      <w:proofErr w:type="spellEnd"/>
      <w:r w:rsidR="00DB66A8" w:rsidRPr="00DB66A8">
        <w:rPr>
          <w:rFonts w:ascii="Arial" w:hAnsi="Arial" w:cs="Arial"/>
          <w:sz w:val="22"/>
          <w:szCs w:val="22"/>
          <w:lang w:val="en-GB"/>
        </w:rPr>
        <w:t xml:space="preserve"> agent. </w:t>
      </w:r>
      <w:r w:rsidR="00DB66A8" w:rsidRPr="00DB66A8">
        <w:rPr>
          <w:rFonts w:ascii="Arial" w:hAnsi="Arial" w:cs="Arial"/>
          <w:sz w:val="22"/>
          <w:szCs w:val="22"/>
          <w:lang w:val="en-GB"/>
        </w:rPr>
        <w:br/>
        <w:t xml:space="preserve">The research then extended beyond the </w:t>
      </w:r>
      <w:proofErr w:type="spellStart"/>
      <w:r w:rsidR="00DB66A8" w:rsidRPr="00DB66A8">
        <w:rPr>
          <w:rFonts w:ascii="Arial" w:hAnsi="Arial" w:cs="Arial"/>
          <w:sz w:val="22"/>
          <w:szCs w:val="22"/>
          <w:lang w:val="en-GB"/>
        </w:rPr>
        <w:t>sulfided</w:t>
      </w:r>
      <w:proofErr w:type="spellEnd"/>
      <w:r w:rsidR="00DB66A8" w:rsidRPr="00DB66A8">
        <w:rPr>
          <w:rFonts w:ascii="Arial" w:hAnsi="Arial" w:cs="Arial"/>
          <w:sz w:val="22"/>
          <w:szCs w:val="22"/>
          <w:lang w:val="en-GB"/>
        </w:rPr>
        <w:t xml:space="preserve"> phase to investigate the origin of catalyst </w:t>
      </w:r>
      <w:r w:rsidR="00584EEC">
        <w:rPr>
          <w:rFonts w:ascii="Arial" w:hAnsi="Arial" w:cs="Arial"/>
          <w:sz w:val="22"/>
          <w:szCs w:val="22"/>
          <w:lang w:val="en-GB"/>
        </w:rPr>
        <w:t>oxide species</w:t>
      </w:r>
      <w:r w:rsidR="00DB66A8" w:rsidRPr="00DB66A8">
        <w:rPr>
          <w:rFonts w:ascii="Arial" w:hAnsi="Arial" w:cs="Arial"/>
          <w:sz w:val="22"/>
          <w:szCs w:val="22"/>
          <w:lang w:val="en-GB"/>
        </w:rPr>
        <w:t xml:space="preserve"> during the impregnation step. XAS combined with linear combination fitting allowed the quantitative identification of several molybdenum-containing species that form when the precursor solution interacts with the alumina support. More recently, hyperspectral full-field XAS imaging has provided spatially and temporally resolved information on the diffusion and speciation of molybdenum throughout catalyst extrudates</w:t>
      </w:r>
      <w:r w:rsidR="00913D22" w:rsidRPr="00913D22">
        <w:rPr>
          <w:rFonts w:ascii="Arial" w:hAnsi="Arial" w:cs="Arial"/>
          <w:sz w:val="22"/>
          <w:szCs w:val="22"/>
          <w:vertAlign w:val="superscript"/>
          <w:lang w:val="en-GB"/>
        </w:rPr>
        <w:t>3</w:t>
      </w:r>
      <w:r w:rsidR="00DB66A8" w:rsidRPr="00DB66A8">
        <w:rPr>
          <w:rFonts w:ascii="Arial" w:hAnsi="Arial" w:cs="Arial"/>
          <w:sz w:val="22"/>
          <w:szCs w:val="22"/>
          <w:lang w:val="en-GB"/>
        </w:rPr>
        <w:t xml:space="preserve">. This approach revealed significant changes in Mo speciation during impregnation, driven </w:t>
      </w:r>
      <w:proofErr w:type="gramStart"/>
      <w:r w:rsidR="00DB66A8" w:rsidRPr="00DB66A8">
        <w:rPr>
          <w:rFonts w:ascii="Arial" w:hAnsi="Arial" w:cs="Arial"/>
          <w:sz w:val="22"/>
          <w:szCs w:val="22"/>
          <w:lang w:val="en-GB"/>
        </w:rPr>
        <w:t>in particular by</w:t>
      </w:r>
      <w:proofErr w:type="gramEnd"/>
      <w:r w:rsidR="00DB66A8" w:rsidRPr="00DB66A8">
        <w:rPr>
          <w:rFonts w:ascii="Arial" w:hAnsi="Arial" w:cs="Arial"/>
          <w:sz w:val="22"/>
          <w:szCs w:val="22"/>
          <w:lang w:val="en-GB"/>
        </w:rPr>
        <w:t xml:space="preserve"> local pH variations and interactions between phosphorus-containing species and the alumina surface.</w:t>
      </w:r>
    </w:p>
    <w:p w14:paraId="0E794F65" w14:textId="1382C53A" w:rsidR="00DB66A8" w:rsidRPr="00DB66A8" w:rsidRDefault="00DB66A8" w:rsidP="00913D22">
      <w:pPr>
        <w:jc w:val="both"/>
        <w:rPr>
          <w:rFonts w:ascii="Arial" w:hAnsi="Arial" w:cs="Arial"/>
          <w:sz w:val="22"/>
          <w:szCs w:val="22"/>
          <w:lang w:val="en-GB"/>
        </w:rPr>
      </w:pPr>
      <w:r w:rsidRPr="00DB66A8">
        <w:rPr>
          <w:rFonts w:ascii="Arial" w:hAnsi="Arial" w:cs="Arial"/>
          <w:sz w:val="22"/>
          <w:szCs w:val="22"/>
          <w:lang w:val="en-GB"/>
        </w:rPr>
        <w:t xml:space="preserve">Finally, new XAS methodologies are being explored for photocatalysis, with the objective of identifying species directly involved in catalytic </w:t>
      </w:r>
      <w:r w:rsidR="008C7867">
        <w:rPr>
          <w:rFonts w:ascii="Arial" w:hAnsi="Arial" w:cs="Arial"/>
          <w:sz w:val="22"/>
          <w:szCs w:val="22"/>
          <w:lang w:val="en-GB"/>
        </w:rPr>
        <w:t>recations</w:t>
      </w:r>
      <w:r w:rsidR="00913D22" w:rsidRPr="00913D22">
        <w:rPr>
          <w:rFonts w:ascii="Arial" w:hAnsi="Arial" w:cs="Arial"/>
          <w:sz w:val="22"/>
          <w:szCs w:val="22"/>
          <w:vertAlign w:val="superscript"/>
          <w:lang w:val="en-GB"/>
        </w:rPr>
        <w:t>4</w:t>
      </w:r>
      <w:r w:rsidRPr="00DB66A8">
        <w:rPr>
          <w:rFonts w:ascii="Arial" w:hAnsi="Arial" w:cs="Arial"/>
          <w:sz w:val="22"/>
          <w:szCs w:val="22"/>
          <w:lang w:val="en-GB"/>
        </w:rPr>
        <w:t xml:space="preserve">. Modulation excitation combined with phase-sensitive detection </w:t>
      </w:r>
      <w:r w:rsidR="008C7867">
        <w:rPr>
          <w:rFonts w:ascii="Arial" w:hAnsi="Arial" w:cs="Arial"/>
          <w:sz w:val="22"/>
          <w:szCs w:val="22"/>
          <w:lang w:val="en-GB"/>
        </w:rPr>
        <w:t xml:space="preserve">(MES-PSD) </w:t>
      </w:r>
      <w:r w:rsidRPr="00DB66A8">
        <w:rPr>
          <w:rFonts w:ascii="Arial" w:hAnsi="Arial" w:cs="Arial"/>
          <w:sz w:val="22"/>
          <w:szCs w:val="22"/>
          <w:lang w:val="en-GB"/>
        </w:rPr>
        <w:t>was applied to a Mo-based photocatalyst for CO</w:t>
      </w:r>
      <w:r w:rsidRPr="00DB66A8">
        <w:rPr>
          <w:rFonts w:ascii="Cambria Math" w:hAnsi="Cambria Math" w:cs="Cambria Math"/>
          <w:sz w:val="22"/>
          <w:szCs w:val="22"/>
          <w:lang w:val="en-GB"/>
        </w:rPr>
        <w:t>₂</w:t>
      </w:r>
      <w:r w:rsidRPr="00DB66A8">
        <w:rPr>
          <w:rFonts w:ascii="Arial" w:hAnsi="Arial" w:cs="Arial"/>
          <w:sz w:val="22"/>
          <w:szCs w:val="22"/>
          <w:lang w:val="en-GB"/>
        </w:rPr>
        <w:t xml:space="preserve"> conversion to methane, revealing a photo-induced signal associated with the more active oxysulfide phase.</w:t>
      </w:r>
      <w:r w:rsidR="00913D22">
        <w:rPr>
          <w:rFonts w:ascii="Arial" w:hAnsi="Arial" w:cs="Arial"/>
          <w:sz w:val="22"/>
          <w:szCs w:val="22"/>
          <w:lang w:val="en-GB"/>
        </w:rPr>
        <w:t xml:space="preserve"> </w:t>
      </w:r>
    </w:p>
    <w:p w14:paraId="5EE77E14" w14:textId="4BA9413C" w:rsidR="00DB66A8" w:rsidRPr="00DB66A8" w:rsidRDefault="00DB66A8" w:rsidP="00DB66A8">
      <w:pPr>
        <w:jc w:val="both"/>
        <w:rPr>
          <w:rFonts w:ascii="Arial" w:hAnsi="Arial" w:cs="Arial"/>
          <w:sz w:val="22"/>
          <w:szCs w:val="22"/>
          <w:lang w:val="en-GB"/>
        </w:rPr>
      </w:pPr>
      <w:r w:rsidRPr="00DB66A8">
        <w:rPr>
          <w:rFonts w:ascii="Arial" w:hAnsi="Arial" w:cs="Arial"/>
          <w:sz w:val="22"/>
          <w:szCs w:val="22"/>
          <w:lang w:val="en-GB"/>
        </w:rPr>
        <w:t xml:space="preserve">Overall, these developments demonstrate the close evolution of XAS and catalyst research from conventional measurements to </w:t>
      </w:r>
      <w:r w:rsidR="00913D22" w:rsidRPr="00DB66A8">
        <w:rPr>
          <w:rFonts w:ascii="Arial" w:hAnsi="Arial" w:cs="Arial"/>
          <w:sz w:val="22"/>
          <w:szCs w:val="22"/>
          <w:lang w:val="en-GB"/>
        </w:rPr>
        <w:t>in situ</w:t>
      </w:r>
      <w:r w:rsidR="00913D22">
        <w:rPr>
          <w:rFonts w:ascii="Arial" w:hAnsi="Arial" w:cs="Arial"/>
          <w:sz w:val="22"/>
          <w:szCs w:val="22"/>
          <w:lang w:val="en-GB"/>
        </w:rPr>
        <w:t>/</w:t>
      </w:r>
      <w:r w:rsidRPr="00DB66A8">
        <w:rPr>
          <w:rFonts w:ascii="Arial" w:hAnsi="Arial" w:cs="Arial"/>
          <w:sz w:val="22"/>
          <w:szCs w:val="22"/>
          <w:lang w:val="en-GB"/>
        </w:rPr>
        <w:t>operando experiments, spatially resolved imaging, and advanced chemometric analysis.</w:t>
      </w:r>
    </w:p>
    <w:p w14:paraId="58BCA188" w14:textId="08DA9E50" w:rsidR="005166FE" w:rsidRPr="00297F1D" w:rsidRDefault="005166FE" w:rsidP="005166FE">
      <w:pPr>
        <w:pStyle w:val="Titre1"/>
        <w:rPr>
          <w:rFonts w:ascii="Arial" w:hAnsi="Arial" w:cs="Arial"/>
          <w:caps w:val="0"/>
          <w:color w:val="0000FF"/>
          <w:sz w:val="22"/>
          <w:szCs w:val="22"/>
          <w:lang w:val="en-GB"/>
        </w:rPr>
      </w:pPr>
      <w:r w:rsidRPr="002E40F1">
        <w:rPr>
          <w:rFonts w:ascii="Arial" w:hAnsi="Arial" w:cs="Arial"/>
          <w:sz w:val="22"/>
          <w:szCs w:val="22"/>
          <w:lang w:val="en-US"/>
        </w:rPr>
        <w:t>References</w:t>
      </w:r>
      <w:r w:rsidR="00297F1D">
        <w:rPr>
          <w:rFonts w:ascii="Arial" w:hAnsi="Arial" w:cs="Arial"/>
          <w:sz w:val="22"/>
          <w:szCs w:val="22"/>
          <w:lang w:val="en-US"/>
        </w:rPr>
        <w:t xml:space="preserve"> </w:t>
      </w:r>
    </w:p>
    <w:p w14:paraId="5F6E5F31" w14:textId="3CCE9302" w:rsidR="00913D22" w:rsidRPr="00B14C50" w:rsidRDefault="00913D22" w:rsidP="00913D22">
      <w:pPr>
        <w:pStyle w:val="reference"/>
        <w:numPr>
          <w:ilvl w:val="0"/>
          <w:numId w:val="2"/>
        </w:numPr>
        <w:rPr>
          <w:rFonts w:ascii="Arial" w:hAnsi="Arial" w:cs="Arial"/>
          <w:sz w:val="15"/>
          <w:szCs w:val="15"/>
        </w:rPr>
      </w:pPr>
      <w:r w:rsidRPr="00B14C50">
        <w:rPr>
          <w:rFonts w:ascii="Arial" w:hAnsi="Arial" w:cs="Arial"/>
          <w:sz w:val="15"/>
          <w:szCs w:val="15"/>
        </w:rPr>
        <w:t xml:space="preserve">Rochet, A, </w:t>
      </w:r>
      <w:r w:rsidR="0084448F" w:rsidRPr="0084448F">
        <w:rPr>
          <w:rFonts w:ascii="Arial" w:hAnsi="Arial" w:cs="Arial"/>
          <w:sz w:val="15"/>
          <w:szCs w:val="15"/>
        </w:rPr>
        <w:t xml:space="preserve">PhD </w:t>
      </w:r>
      <w:proofErr w:type="spellStart"/>
      <w:r w:rsidR="0084448F" w:rsidRPr="0084448F">
        <w:rPr>
          <w:rFonts w:ascii="Arial" w:hAnsi="Arial" w:cs="Arial"/>
          <w:sz w:val="15"/>
          <w:szCs w:val="15"/>
        </w:rPr>
        <w:t>Thesis</w:t>
      </w:r>
      <w:proofErr w:type="spellEnd"/>
      <w:r w:rsidR="0084448F" w:rsidRPr="0084448F">
        <w:rPr>
          <w:rFonts w:ascii="Arial" w:hAnsi="Arial" w:cs="Arial"/>
          <w:sz w:val="15"/>
          <w:szCs w:val="15"/>
        </w:rPr>
        <w:t xml:space="preserve"> Paris-Sud (2011</w:t>
      </w:r>
      <w:r w:rsidR="00300840" w:rsidRPr="0084448F">
        <w:rPr>
          <w:rFonts w:ascii="Arial" w:hAnsi="Arial" w:cs="Arial"/>
          <w:sz w:val="15"/>
          <w:szCs w:val="15"/>
        </w:rPr>
        <w:t>)</w:t>
      </w:r>
      <w:r w:rsidR="00B14C50" w:rsidRPr="0084448F">
        <w:rPr>
          <w:rFonts w:ascii="Arial" w:hAnsi="Arial" w:cs="Arial"/>
          <w:sz w:val="15"/>
          <w:szCs w:val="15"/>
        </w:rPr>
        <w:t>.</w:t>
      </w:r>
    </w:p>
    <w:p w14:paraId="77620536" w14:textId="5ABD063B" w:rsidR="00913D22" w:rsidRPr="00913D22" w:rsidRDefault="00913D22" w:rsidP="00913D22">
      <w:pPr>
        <w:pStyle w:val="reference"/>
        <w:numPr>
          <w:ilvl w:val="0"/>
          <w:numId w:val="2"/>
        </w:numPr>
        <w:rPr>
          <w:rFonts w:ascii="Arial" w:hAnsi="Arial" w:cs="Arial"/>
          <w:sz w:val="15"/>
          <w:szCs w:val="15"/>
        </w:rPr>
      </w:pPr>
      <w:r w:rsidRPr="00913D22">
        <w:rPr>
          <w:rFonts w:ascii="Arial" w:hAnsi="Arial" w:cs="Arial"/>
          <w:sz w:val="15"/>
          <w:szCs w:val="15"/>
        </w:rPr>
        <w:t xml:space="preserve">Lesage, C. </w:t>
      </w:r>
      <w:r w:rsidRPr="00913D22">
        <w:rPr>
          <w:rFonts w:ascii="Arial" w:hAnsi="Arial" w:cs="Arial"/>
          <w:i/>
          <w:iCs/>
          <w:sz w:val="15"/>
          <w:szCs w:val="15"/>
        </w:rPr>
        <w:t>et al.</w:t>
      </w:r>
      <w:r w:rsidRPr="00913D22">
        <w:rPr>
          <w:rFonts w:ascii="Arial" w:hAnsi="Arial" w:cs="Arial"/>
          <w:sz w:val="15"/>
          <w:szCs w:val="15"/>
        </w:rPr>
        <w:t xml:space="preserve">, </w:t>
      </w:r>
      <w:proofErr w:type="spellStart"/>
      <w:r w:rsidRPr="00B14C50">
        <w:rPr>
          <w:rFonts w:ascii="Arial" w:hAnsi="Arial" w:cs="Arial"/>
          <w:i/>
          <w:iCs/>
          <w:sz w:val="15"/>
          <w:szCs w:val="15"/>
        </w:rPr>
        <w:t>Catalysis</w:t>
      </w:r>
      <w:proofErr w:type="spellEnd"/>
      <w:r w:rsidRPr="00B14C50">
        <w:rPr>
          <w:rFonts w:ascii="Arial" w:hAnsi="Arial" w:cs="Arial"/>
          <w:i/>
          <w:iCs/>
          <w:sz w:val="15"/>
          <w:szCs w:val="15"/>
        </w:rPr>
        <w:t xml:space="preserve"> </w:t>
      </w:r>
      <w:proofErr w:type="spellStart"/>
      <w:r w:rsidRPr="00B14C50">
        <w:rPr>
          <w:rFonts w:ascii="Arial" w:hAnsi="Arial" w:cs="Arial"/>
          <w:i/>
          <w:iCs/>
          <w:sz w:val="15"/>
          <w:szCs w:val="15"/>
        </w:rPr>
        <w:t>Today</w:t>
      </w:r>
      <w:proofErr w:type="spellEnd"/>
      <w:r w:rsidRPr="00913D22">
        <w:rPr>
          <w:rFonts w:ascii="Arial" w:hAnsi="Arial" w:cs="Arial"/>
          <w:sz w:val="15"/>
          <w:szCs w:val="15"/>
        </w:rPr>
        <w:t>., 336</w:t>
      </w:r>
      <w:r w:rsidR="00B14C50">
        <w:rPr>
          <w:rFonts w:ascii="Arial" w:hAnsi="Arial" w:cs="Arial"/>
          <w:sz w:val="15"/>
          <w:szCs w:val="15"/>
        </w:rPr>
        <w:t>,</w:t>
      </w:r>
      <w:r w:rsidRPr="00913D22">
        <w:rPr>
          <w:rFonts w:ascii="Arial" w:hAnsi="Arial" w:cs="Arial"/>
          <w:sz w:val="15"/>
          <w:szCs w:val="15"/>
        </w:rPr>
        <w:t> 63-73 (2019)</w:t>
      </w:r>
      <w:r w:rsidR="00B14C50">
        <w:rPr>
          <w:rFonts w:ascii="Arial" w:hAnsi="Arial" w:cs="Arial"/>
          <w:sz w:val="15"/>
          <w:szCs w:val="15"/>
        </w:rPr>
        <w:t>.</w:t>
      </w:r>
    </w:p>
    <w:p w14:paraId="223ED011" w14:textId="2AE628EE" w:rsidR="00913D22" w:rsidRPr="00B14C50" w:rsidRDefault="00913D22" w:rsidP="00913D22">
      <w:pPr>
        <w:pStyle w:val="reference"/>
        <w:numPr>
          <w:ilvl w:val="0"/>
          <w:numId w:val="2"/>
        </w:numPr>
        <w:rPr>
          <w:rFonts w:ascii="Arial" w:hAnsi="Arial" w:cs="Arial"/>
          <w:sz w:val="15"/>
          <w:szCs w:val="15"/>
        </w:rPr>
      </w:pPr>
      <w:r w:rsidRPr="00B14C50">
        <w:rPr>
          <w:rFonts w:ascii="Arial" w:hAnsi="Arial" w:cs="Arial"/>
          <w:sz w:val="15"/>
          <w:szCs w:val="15"/>
        </w:rPr>
        <w:t>Barata B.</w:t>
      </w:r>
      <w:r w:rsidRPr="00B14C50">
        <w:rPr>
          <w:rFonts w:ascii="Arial" w:hAnsi="Arial" w:cs="Arial"/>
          <w:i/>
          <w:iCs/>
          <w:sz w:val="15"/>
          <w:szCs w:val="15"/>
        </w:rPr>
        <w:t xml:space="preserve"> et al., ChemCatChem, </w:t>
      </w:r>
      <w:r w:rsidRPr="00B14C50">
        <w:rPr>
          <w:rFonts w:ascii="Arial" w:hAnsi="Arial" w:cs="Arial"/>
          <w:sz w:val="15"/>
          <w:szCs w:val="15"/>
        </w:rPr>
        <w:t xml:space="preserve">15, </w:t>
      </w:r>
      <w:r w:rsidR="00B14C50">
        <w:rPr>
          <w:rFonts w:ascii="Arial" w:hAnsi="Arial" w:cs="Arial"/>
          <w:sz w:val="15"/>
          <w:szCs w:val="15"/>
        </w:rPr>
        <w:t xml:space="preserve">e202201440 </w:t>
      </w:r>
      <w:r w:rsidR="00300840" w:rsidRPr="00B14C50">
        <w:rPr>
          <w:rFonts w:ascii="Arial" w:hAnsi="Arial" w:cs="Arial"/>
          <w:sz w:val="15"/>
          <w:szCs w:val="15"/>
        </w:rPr>
        <w:t>(</w:t>
      </w:r>
      <w:r w:rsidRPr="00B14C50">
        <w:rPr>
          <w:rFonts w:ascii="Arial" w:hAnsi="Arial" w:cs="Arial"/>
          <w:sz w:val="15"/>
          <w:szCs w:val="15"/>
        </w:rPr>
        <w:t>2023</w:t>
      </w:r>
      <w:r w:rsidR="00300840" w:rsidRPr="00B14C50">
        <w:rPr>
          <w:rFonts w:ascii="Arial" w:hAnsi="Arial" w:cs="Arial"/>
          <w:sz w:val="15"/>
          <w:szCs w:val="15"/>
        </w:rPr>
        <w:t>)</w:t>
      </w:r>
      <w:r w:rsidR="00B14C50">
        <w:rPr>
          <w:rFonts w:ascii="Arial" w:hAnsi="Arial" w:cs="Arial"/>
          <w:sz w:val="15"/>
          <w:szCs w:val="15"/>
        </w:rPr>
        <w:t>.</w:t>
      </w:r>
    </w:p>
    <w:p w14:paraId="578DD40B" w14:textId="588895E5" w:rsidR="005166FE" w:rsidRPr="00300840" w:rsidRDefault="00913D22" w:rsidP="00300840">
      <w:pPr>
        <w:pStyle w:val="reference"/>
        <w:numPr>
          <w:ilvl w:val="0"/>
          <w:numId w:val="2"/>
        </w:numPr>
        <w:rPr>
          <w:rFonts w:ascii="Arial" w:hAnsi="Arial" w:cs="Arial"/>
          <w:sz w:val="15"/>
          <w:szCs w:val="15"/>
          <w:lang w:val="en-GB"/>
        </w:rPr>
      </w:pPr>
      <w:r w:rsidRPr="00913D22">
        <w:rPr>
          <w:rFonts w:ascii="Arial" w:hAnsi="Arial" w:cs="Arial"/>
          <w:sz w:val="15"/>
          <w:szCs w:val="15"/>
          <w:lang w:val="en-US"/>
        </w:rPr>
        <w:t>Roth</w:t>
      </w:r>
      <w:r>
        <w:rPr>
          <w:rFonts w:ascii="Arial" w:hAnsi="Arial" w:cs="Arial"/>
          <w:sz w:val="15"/>
          <w:szCs w:val="15"/>
          <w:lang w:val="en-US"/>
        </w:rPr>
        <w:t xml:space="preserve"> S.</w:t>
      </w:r>
      <w:r w:rsidRPr="00913D22">
        <w:rPr>
          <w:rFonts w:ascii="Arial" w:hAnsi="Arial" w:cs="Arial"/>
          <w:i/>
          <w:iCs/>
          <w:sz w:val="15"/>
          <w:szCs w:val="15"/>
          <w:lang w:val="en-US"/>
        </w:rPr>
        <w:t xml:space="preserve"> et a</w:t>
      </w:r>
      <w:r>
        <w:rPr>
          <w:rFonts w:ascii="Arial" w:hAnsi="Arial" w:cs="Arial"/>
          <w:i/>
          <w:iCs/>
          <w:sz w:val="15"/>
          <w:szCs w:val="15"/>
          <w:lang w:val="en-US"/>
        </w:rPr>
        <w:t>l.,</w:t>
      </w:r>
      <w:r w:rsidRPr="00913D22">
        <w:rPr>
          <w:rFonts w:ascii="Arial" w:hAnsi="Arial" w:cs="Arial"/>
          <w:i/>
          <w:iCs/>
          <w:sz w:val="15"/>
          <w:szCs w:val="15"/>
          <w:lang w:val="en-US"/>
        </w:rPr>
        <w:t xml:space="preserve"> </w:t>
      </w:r>
      <w:r w:rsidRPr="00B14C50">
        <w:rPr>
          <w:rFonts w:ascii="Arial" w:hAnsi="Arial" w:cs="Arial"/>
          <w:i/>
          <w:iCs/>
          <w:sz w:val="15"/>
          <w:szCs w:val="15"/>
          <w:lang w:val="en-GB"/>
        </w:rPr>
        <w:t>J. Synchrotron Rad.</w:t>
      </w:r>
      <w:r w:rsidRPr="00913D22">
        <w:rPr>
          <w:rFonts w:ascii="Arial" w:hAnsi="Arial" w:cs="Arial"/>
          <w:sz w:val="15"/>
          <w:szCs w:val="15"/>
          <w:lang w:val="en-GB"/>
        </w:rPr>
        <w:t xml:space="preserve"> </w:t>
      </w:r>
      <w:r w:rsidR="00B14C50">
        <w:rPr>
          <w:rFonts w:ascii="Arial" w:hAnsi="Arial" w:cs="Arial"/>
          <w:sz w:val="15"/>
          <w:szCs w:val="15"/>
          <w:lang w:val="en-GB"/>
        </w:rPr>
        <w:t xml:space="preserve">33, 123-129 </w:t>
      </w:r>
      <w:r w:rsidRPr="00913D22">
        <w:rPr>
          <w:rFonts w:ascii="Arial" w:hAnsi="Arial" w:cs="Arial"/>
          <w:sz w:val="15"/>
          <w:szCs w:val="15"/>
          <w:lang w:val="en-GB"/>
        </w:rPr>
        <w:t>(2026)</w:t>
      </w:r>
      <w:r w:rsidR="00B14C50">
        <w:rPr>
          <w:rFonts w:ascii="Arial" w:hAnsi="Arial" w:cs="Arial"/>
          <w:sz w:val="15"/>
          <w:szCs w:val="15"/>
          <w:lang w:val="en-GB"/>
        </w:rPr>
        <w:t>.</w:t>
      </w:r>
    </w:p>
    <w:sectPr w:rsidR="005166FE" w:rsidRPr="00300840" w:rsidSect="00913D22">
      <w:pgSz w:w="11906" w:h="16838"/>
      <w:pgMar w:top="1304" w:right="1304" w:bottom="130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E36C2"/>
    <w:multiLevelType w:val="hybridMultilevel"/>
    <w:tmpl w:val="6346F4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4AB4CAF"/>
    <w:multiLevelType w:val="hybridMultilevel"/>
    <w:tmpl w:val="43403E32"/>
    <w:lvl w:ilvl="0" w:tplc="4F12D92E">
      <w:start w:val="1"/>
      <w:numFmt w:val="bullet"/>
      <w:lvlText w:val=""/>
      <w:lvlJc w:val="left"/>
      <w:pPr>
        <w:tabs>
          <w:tab w:val="num" w:pos="720"/>
        </w:tabs>
        <w:ind w:left="720" w:hanging="360"/>
      </w:pPr>
      <w:rPr>
        <w:rFonts w:ascii="Wingdings" w:hAnsi="Wingdings" w:hint="default"/>
      </w:rPr>
    </w:lvl>
    <w:lvl w:ilvl="1" w:tplc="7834DC76" w:tentative="1">
      <w:start w:val="1"/>
      <w:numFmt w:val="bullet"/>
      <w:lvlText w:val=""/>
      <w:lvlJc w:val="left"/>
      <w:pPr>
        <w:tabs>
          <w:tab w:val="num" w:pos="1440"/>
        </w:tabs>
        <w:ind w:left="1440" w:hanging="360"/>
      </w:pPr>
      <w:rPr>
        <w:rFonts w:ascii="Wingdings" w:hAnsi="Wingdings" w:hint="default"/>
      </w:rPr>
    </w:lvl>
    <w:lvl w:ilvl="2" w:tplc="3444A598" w:tentative="1">
      <w:start w:val="1"/>
      <w:numFmt w:val="bullet"/>
      <w:lvlText w:val=""/>
      <w:lvlJc w:val="left"/>
      <w:pPr>
        <w:tabs>
          <w:tab w:val="num" w:pos="2160"/>
        </w:tabs>
        <w:ind w:left="2160" w:hanging="360"/>
      </w:pPr>
      <w:rPr>
        <w:rFonts w:ascii="Wingdings" w:hAnsi="Wingdings" w:hint="default"/>
      </w:rPr>
    </w:lvl>
    <w:lvl w:ilvl="3" w:tplc="51B61622" w:tentative="1">
      <w:start w:val="1"/>
      <w:numFmt w:val="bullet"/>
      <w:lvlText w:val=""/>
      <w:lvlJc w:val="left"/>
      <w:pPr>
        <w:tabs>
          <w:tab w:val="num" w:pos="2880"/>
        </w:tabs>
        <w:ind w:left="2880" w:hanging="360"/>
      </w:pPr>
      <w:rPr>
        <w:rFonts w:ascii="Wingdings" w:hAnsi="Wingdings" w:hint="default"/>
      </w:rPr>
    </w:lvl>
    <w:lvl w:ilvl="4" w:tplc="55480142" w:tentative="1">
      <w:start w:val="1"/>
      <w:numFmt w:val="bullet"/>
      <w:lvlText w:val=""/>
      <w:lvlJc w:val="left"/>
      <w:pPr>
        <w:tabs>
          <w:tab w:val="num" w:pos="3600"/>
        </w:tabs>
        <w:ind w:left="3600" w:hanging="360"/>
      </w:pPr>
      <w:rPr>
        <w:rFonts w:ascii="Wingdings" w:hAnsi="Wingdings" w:hint="default"/>
      </w:rPr>
    </w:lvl>
    <w:lvl w:ilvl="5" w:tplc="BB9A7DAA" w:tentative="1">
      <w:start w:val="1"/>
      <w:numFmt w:val="bullet"/>
      <w:lvlText w:val=""/>
      <w:lvlJc w:val="left"/>
      <w:pPr>
        <w:tabs>
          <w:tab w:val="num" w:pos="4320"/>
        </w:tabs>
        <w:ind w:left="4320" w:hanging="360"/>
      </w:pPr>
      <w:rPr>
        <w:rFonts w:ascii="Wingdings" w:hAnsi="Wingdings" w:hint="default"/>
      </w:rPr>
    </w:lvl>
    <w:lvl w:ilvl="6" w:tplc="8B1C2DE6" w:tentative="1">
      <w:start w:val="1"/>
      <w:numFmt w:val="bullet"/>
      <w:lvlText w:val=""/>
      <w:lvlJc w:val="left"/>
      <w:pPr>
        <w:tabs>
          <w:tab w:val="num" w:pos="5040"/>
        </w:tabs>
        <w:ind w:left="5040" w:hanging="360"/>
      </w:pPr>
      <w:rPr>
        <w:rFonts w:ascii="Wingdings" w:hAnsi="Wingdings" w:hint="default"/>
      </w:rPr>
    </w:lvl>
    <w:lvl w:ilvl="7" w:tplc="4574D58A" w:tentative="1">
      <w:start w:val="1"/>
      <w:numFmt w:val="bullet"/>
      <w:lvlText w:val=""/>
      <w:lvlJc w:val="left"/>
      <w:pPr>
        <w:tabs>
          <w:tab w:val="num" w:pos="5760"/>
        </w:tabs>
        <w:ind w:left="5760" w:hanging="360"/>
      </w:pPr>
      <w:rPr>
        <w:rFonts w:ascii="Wingdings" w:hAnsi="Wingdings" w:hint="default"/>
      </w:rPr>
    </w:lvl>
    <w:lvl w:ilvl="8" w:tplc="BD5C267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94676B"/>
    <w:multiLevelType w:val="hybridMultilevel"/>
    <w:tmpl w:val="6D4209FC"/>
    <w:lvl w:ilvl="0" w:tplc="71B23252">
      <w:start w:val="1"/>
      <w:numFmt w:val="bullet"/>
      <w:lvlText w:val=""/>
      <w:lvlJc w:val="left"/>
      <w:pPr>
        <w:tabs>
          <w:tab w:val="num" w:pos="720"/>
        </w:tabs>
        <w:ind w:left="720" w:hanging="360"/>
      </w:pPr>
      <w:rPr>
        <w:rFonts w:ascii="Wingdings" w:hAnsi="Wingdings" w:hint="default"/>
      </w:rPr>
    </w:lvl>
    <w:lvl w:ilvl="1" w:tplc="F3B4DC00" w:tentative="1">
      <w:start w:val="1"/>
      <w:numFmt w:val="bullet"/>
      <w:lvlText w:val=""/>
      <w:lvlJc w:val="left"/>
      <w:pPr>
        <w:tabs>
          <w:tab w:val="num" w:pos="1440"/>
        </w:tabs>
        <w:ind w:left="1440" w:hanging="360"/>
      </w:pPr>
      <w:rPr>
        <w:rFonts w:ascii="Wingdings" w:hAnsi="Wingdings" w:hint="default"/>
      </w:rPr>
    </w:lvl>
    <w:lvl w:ilvl="2" w:tplc="8BA00FA6" w:tentative="1">
      <w:start w:val="1"/>
      <w:numFmt w:val="bullet"/>
      <w:lvlText w:val=""/>
      <w:lvlJc w:val="left"/>
      <w:pPr>
        <w:tabs>
          <w:tab w:val="num" w:pos="2160"/>
        </w:tabs>
        <w:ind w:left="2160" w:hanging="360"/>
      </w:pPr>
      <w:rPr>
        <w:rFonts w:ascii="Wingdings" w:hAnsi="Wingdings" w:hint="default"/>
      </w:rPr>
    </w:lvl>
    <w:lvl w:ilvl="3" w:tplc="AA0882D2" w:tentative="1">
      <w:start w:val="1"/>
      <w:numFmt w:val="bullet"/>
      <w:lvlText w:val=""/>
      <w:lvlJc w:val="left"/>
      <w:pPr>
        <w:tabs>
          <w:tab w:val="num" w:pos="2880"/>
        </w:tabs>
        <w:ind w:left="2880" w:hanging="360"/>
      </w:pPr>
      <w:rPr>
        <w:rFonts w:ascii="Wingdings" w:hAnsi="Wingdings" w:hint="default"/>
      </w:rPr>
    </w:lvl>
    <w:lvl w:ilvl="4" w:tplc="3590537C" w:tentative="1">
      <w:start w:val="1"/>
      <w:numFmt w:val="bullet"/>
      <w:lvlText w:val=""/>
      <w:lvlJc w:val="left"/>
      <w:pPr>
        <w:tabs>
          <w:tab w:val="num" w:pos="3600"/>
        </w:tabs>
        <w:ind w:left="3600" w:hanging="360"/>
      </w:pPr>
      <w:rPr>
        <w:rFonts w:ascii="Wingdings" w:hAnsi="Wingdings" w:hint="default"/>
      </w:rPr>
    </w:lvl>
    <w:lvl w:ilvl="5" w:tplc="1758E512" w:tentative="1">
      <w:start w:val="1"/>
      <w:numFmt w:val="bullet"/>
      <w:lvlText w:val=""/>
      <w:lvlJc w:val="left"/>
      <w:pPr>
        <w:tabs>
          <w:tab w:val="num" w:pos="4320"/>
        </w:tabs>
        <w:ind w:left="4320" w:hanging="360"/>
      </w:pPr>
      <w:rPr>
        <w:rFonts w:ascii="Wingdings" w:hAnsi="Wingdings" w:hint="default"/>
      </w:rPr>
    </w:lvl>
    <w:lvl w:ilvl="6" w:tplc="639CF274" w:tentative="1">
      <w:start w:val="1"/>
      <w:numFmt w:val="bullet"/>
      <w:lvlText w:val=""/>
      <w:lvlJc w:val="left"/>
      <w:pPr>
        <w:tabs>
          <w:tab w:val="num" w:pos="5040"/>
        </w:tabs>
        <w:ind w:left="5040" w:hanging="360"/>
      </w:pPr>
      <w:rPr>
        <w:rFonts w:ascii="Wingdings" w:hAnsi="Wingdings" w:hint="default"/>
      </w:rPr>
    </w:lvl>
    <w:lvl w:ilvl="7" w:tplc="CEE6F5B4" w:tentative="1">
      <w:start w:val="1"/>
      <w:numFmt w:val="bullet"/>
      <w:lvlText w:val=""/>
      <w:lvlJc w:val="left"/>
      <w:pPr>
        <w:tabs>
          <w:tab w:val="num" w:pos="5760"/>
        </w:tabs>
        <w:ind w:left="5760" w:hanging="360"/>
      </w:pPr>
      <w:rPr>
        <w:rFonts w:ascii="Wingdings" w:hAnsi="Wingdings" w:hint="default"/>
      </w:rPr>
    </w:lvl>
    <w:lvl w:ilvl="8" w:tplc="B36CE62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646941"/>
    <w:multiLevelType w:val="hybridMultilevel"/>
    <w:tmpl w:val="38B603C2"/>
    <w:lvl w:ilvl="0" w:tplc="9F84206A">
      <w:start w:val="1"/>
      <w:numFmt w:val="bullet"/>
      <w:lvlText w:val=""/>
      <w:lvlJc w:val="left"/>
      <w:pPr>
        <w:tabs>
          <w:tab w:val="num" w:pos="720"/>
        </w:tabs>
        <w:ind w:left="720" w:hanging="360"/>
      </w:pPr>
      <w:rPr>
        <w:rFonts w:ascii="Wingdings" w:hAnsi="Wingdings" w:hint="default"/>
      </w:rPr>
    </w:lvl>
    <w:lvl w:ilvl="1" w:tplc="CF64C0D2" w:tentative="1">
      <w:start w:val="1"/>
      <w:numFmt w:val="bullet"/>
      <w:lvlText w:val=""/>
      <w:lvlJc w:val="left"/>
      <w:pPr>
        <w:tabs>
          <w:tab w:val="num" w:pos="1440"/>
        </w:tabs>
        <w:ind w:left="1440" w:hanging="360"/>
      </w:pPr>
      <w:rPr>
        <w:rFonts w:ascii="Wingdings" w:hAnsi="Wingdings" w:hint="default"/>
      </w:rPr>
    </w:lvl>
    <w:lvl w:ilvl="2" w:tplc="D278CBBA" w:tentative="1">
      <w:start w:val="1"/>
      <w:numFmt w:val="bullet"/>
      <w:lvlText w:val=""/>
      <w:lvlJc w:val="left"/>
      <w:pPr>
        <w:tabs>
          <w:tab w:val="num" w:pos="2160"/>
        </w:tabs>
        <w:ind w:left="2160" w:hanging="360"/>
      </w:pPr>
      <w:rPr>
        <w:rFonts w:ascii="Wingdings" w:hAnsi="Wingdings" w:hint="default"/>
      </w:rPr>
    </w:lvl>
    <w:lvl w:ilvl="3" w:tplc="395CD16C" w:tentative="1">
      <w:start w:val="1"/>
      <w:numFmt w:val="bullet"/>
      <w:lvlText w:val=""/>
      <w:lvlJc w:val="left"/>
      <w:pPr>
        <w:tabs>
          <w:tab w:val="num" w:pos="2880"/>
        </w:tabs>
        <w:ind w:left="2880" w:hanging="360"/>
      </w:pPr>
      <w:rPr>
        <w:rFonts w:ascii="Wingdings" w:hAnsi="Wingdings" w:hint="default"/>
      </w:rPr>
    </w:lvl>
    <w:lvl w:ilvl="4" w:tplc="CBEE02F8" w:tentative="1">
      <w:start w:val="1"/>
      <w:numFmt w:val="bullet"/>
      <w:lvlText w:val=""/>
      <w:lvlJc w:val="left"/>
      <w:pPr>
        <w:tabs>
          <w:tab w:val="num" w:pos="3600"/>
        </w:tabs>
        <w:ind w:left="3600" w:hanging="360"/>
      </w:pPr>
      <w:rPr>
        <w:rFonts w:ascii="Wingdings" w:hAnsi="Wingdings" w:hint="default"/>
      </w:rPr>
    </w:lvl>
    <w:lvl w:ilvl="5" w:tplc="65CCC3D4" w:tentative="1">
      <w:start w:val="1"/>
      <w:numFmt w:val="bullet"/>
      <w:lvlText w:val=""/>
      <w:lvlJc w:val="left"/>
      <w:pPr>
        <w:tabs>
          <w:tab w:val="num" w:pos="4320"/>
        </w:tabs>
        <w:ind w:left="4320" w:hanging="360"/>
      </w:pPr>
      <w:rPr>
        <w:rFonts w:ascii="Wingdings" w:hAnsi="Wingdings" w:hint="default"/>
      </w:rPr>
    </w:lvl>
    <w:lvl w:ilvl="6" w:tplc="304A0490" w:tentative="1">
      <w:start w:val="1"/>
      <w:numFmt w:val="bullet"/>
      <w:lvlText w:val=""/>
      <w:lvlJc w:val="left"/>
      <w:pPr>
        <w:tabs>
          <w:tab w:val="num" w:pos="5040"/>
        </w:tabs>
        <w:ind w:left="5040" w:hanging="360"/>
      </w:pPr>
      <w:rPr>
        <w:rFonts w:ascii="Wingdings" w:hAnsi="Wingdings" w:hint="default"/>
      </w:rPr>
    </w:lvl>
    <w:lvl w:ilvl="7" w:tplc="71A4FE4A" w:tentative="1">
      <w:start w:val="1"/>
      <w:numFmt w:val="bullet"/>
      <w:lvlText w:val=""/>
      <w:lvlJc w:val="left"/>
      <w:pPr>
        <w:tabs>
          <w:tab w:val="num" w:pos="5760"/>
        </w:tabs>
        <w:ind w:left="5760" w:hanging="360"/>
      </w:pPr>
      <w:rPr>
        <w:rFonts w:ascii="Wingdings" w:hAnsi="Wingdings" w:hint="default"/>
      </w:rPr>
    </w:lvl>
    <w:lvl w:ilvl="8" w:tplc="E8F0DCB0" w:tentative="1">
      <w:start w:val="1"/>
      <w:numFmt w:val="bullet"/>
      <w:lvlText w:val=""/>
      <w:lvlJc w:val="left"/>
      <w:pPr>
        <w:tabs>
          <w:tab w:val="num" w:pos="6480"/>
        </w:tabs>
        <w:ind w:left="6480" w:hanging="360"/>
      </w:pPr>
      <w:rPr>
        <w:rFonts w:ascii="Wingdings" w:hAnsi="Wingdings" w:hint="default"/>
      </w:rPr>
    </w:lvl>
  </w:abstractNum>
  <w:num w:numId="1" w16cid:durableId="1742021637">
    <w:abstractNumId w:val="3"/>
  </w:num>
  <w:num w:numId="2" w16cid:durableId="1547645232">
    <w:abstractNumId w:val="0"/>
  </w:num>
  <w:num w:numId="3" w16cid:durableId="505093880">
    <w:abstractNumId w:val="1"/>
  </w:num>
  <w:num w:numId="4" w16cid:durableId="1338271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6FE"/>
    <w:rsid w:val="00041ED8"/>
    <w:rsid w:val="00297F1D"/>
    <w:rsid w:val="002E40F1"/>
    <w:rsid w:val="00300840"/>
    <w:rsid w:val="00342775"/>
    <w:rsid w:val="003B00A4"/>
    <w:rsid w:val="005166FE"/>
    <w:rsid w:val="00584EEC"/>
    <w:rsid w:val="0063764B"/>
    <w:rsid w:val="006477D0"/>
    <w:rsid w:val="00683902"/>
    <w:rsid w:val="006A39E3"/>
    <w:rsid w:val="007E7378"/>
    <w:rsid w:val="0084448F"/>
    <w:rsid w:val="008C7867"/>
    <w:rsid w:val="008D4E08"/>
    <w:rsid w:val="0091292E"/>
    <w:rsid w:val="00913D22"/>
    <w:rsid w:val="00AB1846"/>
    <w:rsid w:val="00B06DCF"/>
    <w:rsid w:val="00B14C50"/>
    <w:rsid w:val="00CF36A0"/>
    <w:rsid w:val="00DB66A8"/>
    <w:rsid w:val="00DF3681"/>
    <w:rsid w:val="00E16F3C"/>
    <w:rsid w:val="00E30A4A"/>
    <w:rsid w:val="00E73FA0"/>
    <w:rsid w:val="00FE0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FCD2A5"/>
  <w15:chartTrackingRefBased/>
  <w15:docId w15:val="{3D3F9E7F-7217-468F-BD91-F8A20A3C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FR" w:eastAsia="fr-FR"/>
    </w:rPr>
  </w:style>
  <w:style w:type="paragraph" w:styleId="Titre1">
    <w:name w:val="heading 1"/>
    <w:basedOn w:val="Normal"/>
    <w:qFormat/>
    <w:rsid w:val="005166FE"/>
    <w:pPr>
      <w:keepNext/>
      <w:spacing w:before="240" w:after="240"/>
      <w:jc w:val="center"/>
      <w:outlineLvl w:val="0"/>
    </w:pPr>
    <w:rPr>
      <w:b/>
      <w:bCs/>
      <w:caps/>
      <w:kern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pertitle">
    <w:name w:val="papertitle"/>
    <w:basedOn w:val="Normal"/>
    <w:rsid w:val="005166FE"/>
    <w:pPr>
      <w:spacing w:before="960"/>
      <w:jc w:val="center"/>
    </w:pPr>
    <w:rPr>
      <w:b/>
      <w:bCs/>
      <w:sz w:val="36"/>
      <w:szCs w:val="36"/>
    </w:rPr>
  </w:style>
  <w:style w:type="paragraph" w:customStyle="1" w:styleId="paperauthor">
    <w:name w:val="paperauthor"/>
    <w:basedOn w:val="Normal"/>
    <w:rsid w:val="005166FE"/>
    <w:pPr>
      <w:spacing w:before="360" w:after="360"/>
      <w:jc w:val="center"/>
    </w:pPr>
    <w:rPr>
      <w:sz w:val="28"/>
      <w:szCs w:val="28"/>
    </w:rPr>
  </w:style>
  <w:style w:type="paragraph" w:customStyle="1" w:styleId="authoraffiliation">
    <w:name w:val="authoraffiliation"/>
    <w:basedOn w:val="Normal"/>
    <w:rsid w:val="005166FE"/>
    <w:pPr>
      <w:jc w:val="center"/>
    </w:pPr>
    <w:rPr>
      <w:i/>
      <w:iCs/>
      <w:sz w:val="20"/>
      <w:szCs w:val="20"/>
    </w:rPr>
  </w:style>
  <w:style w:type="paragraph" w:customStyle="1" w:styleId="paragraph">
    <w:name w:val="paragraph"/>
    <w:basedOn w:val="Normal"/>
    <w:rsid w:val="005166FE"/>
    <w:pPr>
      <w:ind w:firstLine="274"/>
      <w:jc w:val="both"/>
    </w:pPr>
    <w:rPr>
      <w:sz w:val="20"/>
      <w:szCs w:val="20"/>
    </w:rPr>
  </w:style>
  <w:style w:type="paragraph" w:customStyle="1" w:styleId="reference">
    <w:name w:val="reference"/>
    <w:basedOn w:val="Normal"/>
    <w:rsid w:val="005166FE"/>
    <w:pPr>
      <w:ind w:left="274" w:hanging="274"/>
      <w:jc w:val="both"/>
    </w:pPr>
    <w:rPr>
      <w:sz w:val="18"/>
      <w:szCs w:val="18"/>
    </w:rPr>
  </w:style>
  <w:style w:type="paragraph" w:customStyle="1" w:styleId="equation">
    <w:name w:val="equation"/>
    <w:basedOn w:val="Normal"/>
    <w:rsid w:val="005166FE"/>
    <w:pPr>
      <w:jc w:val="both"/>
    </w:pPr>
    <w:rPr>
      <w:sz w:val="20"/>
      <w:szCs w:val="20"/>
    </w:rPr>
  </w:style>
  <w:style w:type="paragraph" w:styleId="Paragraphedeliste">
    <w:name w:val="List Paragraph"/>
    <w:basedOn w:val="Normal"/>
    <w:uiPriority w:val="34"/>
    <w:qFormat/>
    <w:rsid w:val="0091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1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FRAISS~1\LOCALS~1\Temp\TEMPLATE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TEMPLATE3</Template>
  <TotalTime>9</TotalTime>
  <Pages>1</Pages>
  <Words>536</Words>
  <Characters>2951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The Title Goes Here With Each Initial Letter Capitalized</vt:lpstr>
    </vt:vector>
  </TitlesOfParts>
  <Company>Synchrotron SOLEIL</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Goes Here With Each Initial Letter Capitalized</dc:title>
  <dc:subject/>
  <dc:creator>fraissard</dc:creator>
  <cp:keywords/>
  <dc:description/>
  <cp:lastModifiedBy>BRIOIS Valerie</cp:lastModifiedBy>
  <cp:revision>3</cp:revision>
  <cp:lastPrinted>1899-12-31T23:00:00Z</cp:lastPrinted>
  <dcterms:created xsi:type="dcterms:W3CDTF">2026-09-01T07:03:00Z</dcterms:created>
  <dcterms:modified xsi:type="dcterms:W3CDTF">2026-09-01T09:07:00Z</dcterms:modified>
</cp:coreProperties>
</file>