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940A5" w14:textId="37A6394E" w:rsidR="005166FE" w:rsidRPr="002E40F1" w:rsidRDefault="00342CEC" w:rsidP="005166FE">
      <w:pPr>
        <w:pStyle w:val="papertitle"/>
        <w:rPr>
          <w:rFonts w:ascii="Arial" w:hAnsi="Arial" w:cs="Arial"/>
          <w:lang w:val="en-GB"/>
        </w:rPr>
      </w:pPr>
      <w:commentRangeStart w:id="0"/>
      <w:r>
        <w:rPr>
          <w:rFonts w:ascii="Arial" w:hAnsi="Arial" w:cs="Arial"/>
          <w:bCs w:val="0"/>
          <w:lang w:val="en-US"/>
        </w:rPr>
        <w:t>Simult</w:t>
      </w:r>
      <w:r w:rsidR="00AB0574">
        <w:rPr>
          <w:rFonts w:ascii="Arial" w:hAnsi="Arial" w:cs="Arial"/>
          <w:bCs w:val="0"/>
          <w:lang w:val="en-US"/>
        </w:rPr>
        <w:t>an</w:t>
      </w:r>
      <w:r>
        <w:rPr>
          <w:rFonts w:ascii="Arial" w:hAnsi="Arial" w:cs="Arial"/>
          <w:bCs w:val="0"/>
          <w:lang w:val="en-US"/>
        </w:rPr>
        <w:t>eous</w:t>
      </w:r>
      <w:r w:rsidR="00AB0574">
        <w:rPr>
          <w:rFonts w:ascii="Arial" w:hAnsi="Arial" w:cs="Arial"/>
          <w:bCs w:val="0"/>
          <w:lang w:val="en-US"/>
        </w:rPr>
        <w:t xml:space="preserve"> </w:t>
      </w:r>
      <w:commentRangeEnd w:id="0"/>
      <w:r w:rsidR="00B956DA">
        <w:rPr>
          <w:rStyle w:val="CommentReference"/>
          <w:rFonts w:ascii="Arial" w:hAnsi="Arial" w:cs="Arial"/>
          <w:bCs w:val="0"/>
          <w:sz w:val="36"/>
          <w:szCs w:val="36"/>
          <w:lang w:val="en-US"/>
        </w:rPr>
        <w:commentReference w:id="0"/>
      </w:r>
      <w:r w:rsidR="00AB0574">
        <w:rPr>
          <w:rFonts w:ascii="Arial" w:hAnsi="Arial" w:cs="Arial"/>
          <w:bCs w:val="0"/>
          <w:lang w:val="en-US"/>
        </w:rPr>
        <w:t>XAFS and XRD using a two-color beam</w:t>
      </w:r>
      <w:r w:rsidR="006477D0" w:rsidRPr="00761E50">
        <w:rPr>
          <w:rFonts w:ascii="Arial" w:hAnsi="Arial" w:cs="Arial"/>
          <w:lang w:val="en-US"/>
        </w:rPr>
        <w:t xml:space="preserve"> </w:t>
      </w:r>
    </w:p>
    <w:p w14:paraId="6E01D281" w14:textId="5A870733" w:rsidR="00761E50" w:rsidRPr="008D0488" w:rsidRDefault="00AB0574" w:rsidP="00761E50">
      <w:pPr>
        <w:pStyle w:val="isselectedend"/>
        <w:jc w:val="center"/>
        <w:rPr>
          <w:rFonts w:ascii="Calibri" w:hAnsi="Calibri" w:cs="Calibri"/>
          <w:lang w:val="it-IT"/>
        </w:rPr>
      </w:pPr>
      <w:r w:rsidRPr="008D0488">
        <w:rPr>
          <w:rFonts w:ascii="Arial" w:hAnsi="Arial" w:cs="Arial"/>
          <w:sz w:val="28"/>
          <w:szCs w:val="28"/>
          <w:lang w:val="it-IT"/>
        </w:rPr>
        <w:t>N. Vostrov</w:t>
      </w:r>
      <w:r w:rsidRPr="008D0488">
        <w:rPr>
          <w:rFonts w:ascii="Arial" w:hAnsi="Arial" w:cs="Arial"/>
          <w:sz w:val="28"/>
          <w:szCs w:val="28"/>
          <w:vertAlign w:val="superscript"/>
          <w:lang w:val="it-IT"/>
        </w:rPr>
        <w:t>1,2</w:t>
      </w:r>
      <w:r w:rsidRPr="008D0488">
        <w:rPr>
          <w:rFonts w:ascii="Arial" w:hAnsi="Arial" w:cs="Arial"/>
          <w:sz w:val="28"/>
          <w:szCs w:val="28"/>
          <w:lang w:val="it-IT"/>
        </w:rPr>
        <w:t>, M. Bianchini</w:t>
      </w:r>
      <w:r w:rsidRPr="008D0488">
        <w:rPr>
          <w:rFonts w:ascii="Arial" w:hAnsi="Arial" w:cs="Arial"/>
          <w:sz w:val="28"/>
          <w:szCs w:val="28"/>
          <w:vertAlign w:val="superscript"/>
          <w:lang w:val="it-IT"/>
        </w:rPr>
        <w:t>2</w:t>
      </w:r>
      <w:r w:rsidRPr="008D0488">
        <w:rPr>
          <w:rFonts w:ascii="Arial" w:hAnsi="Arial" w:cs="Arial"/>
          <w:sz w:val="28"/>
          <w:szCs w:val="28"/>
          <w:lang w:val="it-IT"/>
        </w:rPr>
        <w:t xml:space="preserve"> </w:t>
      </w:r>
      <w:r w:rsidR="00761E50" w:rsidRPr="008D0488">
        <w:rPr>
          <w:rFonts w:ascii="Arial" w:hAnsi="Arial" w:cs="Arial"/>
          <w:sz w:val="28"/>
          <w:szCs w:val="28"/>
          <w:lang w:val="it-IT"/>
        </w:rPr>
        <w:t>and P. Glatze</w:t>
      </w:r>
      <w:r w:rsidR="008D0488">
        <w:rPr>
          <w:rFonts w:ascii="Arial" w:hAnsi="Arial" w:cs="Arial"/>
          <w:sz w:val="28"/>
          <w:szCs w:val="28"/>
          <w:lang w:val="it-IT"/>
        </w:rPr>
        <w:t>l</w:t>
      </w:r>
      <w:r w:rsidR="009C2013" w:rsidRPr="008D0488">
        <w:rPr>
          <w:rFonts w:ascii="Arial" w:hAnsi="Arial" w:cs="Arial"/>
          <w:sz w:val="28"/>
          <w:szCs w:val="28"/>
          <w:vertAlign w:val="superscript"/>
          <w:lang w:val="it-IT"/>
        </w:rPr>
        <w:t>1</w:t>
      </w:r>
    </w:p>
    <w:p w14:paraId="56F59387" w14:textId="3890754D" w:rsidR="005166FE" w:rsidRPr="008D0488" w:rsidRDefault="009C2013" w:rsidP="005166FE">
      <w:pPr>
        <w:pStyle w:val="authoraffiliation"/>
        <w:rPr>
          <w:rFonts w:ascii="Arial" w:hAnsi="Arial" w:cs="Arial"/>
          <w:lang w:val="it-IT"/>
        </w:rPr>
      </w:pPr>
      <w:r w:rsidRPr="008D0488">
        <w:rPr>
          <w:rFonts w:ascii="Arial" w:hAnsi="Arial" w:cs="Arial"/>
          <w:vertAlign w:val="superscript"/>
          <w:lang w:val="it-IT"/>
        </w:rPr>
        <w:t>1</w:t>
      </w:r>
      <w:r w:rsidRPr="008D0488">
        <w:rPr>
          <w:rFonts w:ascii="Arial" w:hAnsi="Arial" w:cs="Arial"/>
          <w:lang w:val="it-IT"/>
        </w:rPr>
        <w:t xml:space="preserve"> </w:t>
      </w:r>
      <w:r w:rsidR="00761E50" w:rsidRPr="008D0488">
        <w:rPr>
          <w:rFonts w:ascii="Arial" w:hAnsi="Arial" w:cs="Arial"/>
          <w:lang w:val="it-IT"/>
        </w:rPr>
        <w:t xml:space="preserve">European Synchrotron Research Facility, 71 avenue de Martyrs, </w:t>
      </w:r>
      <w:r w:rsidRPr="008D0488">
        <w:rPr>
          <w:rFonts w:ascii="Arial" w:hAnsi="Arial" w:cs="Arial"/>
          <w:lang w:val="it-IT"/>
        </w:rPr>
        <w:t>38000 Grenoble</w:t>
      </w:r>
      <w:r w:rsidR="007B4FB7" w:rsidRPr="008D0488">
        <w:rPr>
          <w:rFonts w:ascii="Arial" w:hAnsi="Arial" w:cs="Arial"/>
          <w:lang w:val="it-IT"/>
        </w:rPr>
        <w:t>, France</w:t>
      </w:r>
    </w:p>
    <w:p w14:paraId="262974D7" w14:textId="4F3CA301" w:rsidR="005166FE" w:rsidRPr="008D0488" w:rsidRDefault="009C2013" w:rsidP="009C2013">
      <w:pPr>
        <w:pStyle w:val="authoraffiliation"/>
        <w:rPr>
          <w:rFonts w:ascii="Arial" w:hAnsi="Arial" w:cs="Arial"/>
          <w:lang w:val="it-IT"/>
        </w:rPr>
      </w:pPr>
      <w:r w:rsidRPr="008D0488">
        <w:rPr>
          <w:rFonts w:ascii="Arial" w:hAnsi="Arial" w:cs="Arial"/>
          <w:vertAlign w:val="superscript"/>
          <w:lang w:val="it-IT"/>
        </w:rPr>
        <w:t>2</w:t>
      </w:r>
      <w:r w:rsidR="007B4FB7" w:rsidRPr="008D0488">
        <w:rPr>
          <w:rFonts w:ascii="Arial" w:hAnsi="Arial" w:cs="Arial"/>
          <w:lang w:val="it-IT"/>
        </w:rPr>
        <w:t xml:space="preserve"> Universität Bayreuth, Fakultät für Biologie, Chemie und Geowissenschaften, Universitätstraße 30, D-95447 Bayreuth, Germany</w:t>
      </w:r>
    </w:p>
    <w:p w14:paraId="1F742AEF" w14:textId="77777777" w:rsidR="009C2013" w:rsidRPr="008D0488" w:rsidRDefault="009C2013" w:rsidP="009C2013">
      <w:pPr>
        <w:pStyle w:val="authoraffiliation"/>
        <w:rPr>
          <w:rFonts w:ascii="Arial" w:hAnsi="Arial" w:cs="Arial"/>
          <w:lang w:val="it-IT"/>
        </w:rPr>
      </w:pPr>
    </w:p>
    <w:p w14:paraId="610D5D79" w14:textId="187B8EBD" w:rsidR="0095495E" w:rsidRPr="0095495E" w:rsidRDefault="00761E50" w:rsidP="0095495E">
      <w:pPr>
        <w:pStyle w:val="paragraph"/>
        <w:rPr>
          <w:rFonts w:ascii="Arial" w:hAnsi="Arial" w:cs="Arial"/>
          <w:sz w:val="22"/>
          <w:szCs w:val="22"/>
          <w:lang w:val="en-GB"/>
        </w:rPr>
      </w:pPr>
      <w:r w:rsidRPr="008E410B">
        <w:rPr>
          <w:rFonts w:ascii="Arial" w:hAnsi="Arial" w:cs="Arial"/>
          <w:sz w:val="22"/>
          <w:szCs w:val="22"/>
          <w:lang w:val="en-US"/>
        </w:rPr>
        <w:br/>
      </w:r>
      <w:r w:rsidR="0095495E" w:rsidRPr="0095495E">
        <w:rPr>
          <w:rFonts w:ascii="Arial" w:hAnsi="Arial" w:cs="Arial"/>
          <w:sz w:val="22"/>
          <w:szCs w:val="22"/>
          <w:lang w:val="en-GB"/>
        </w:rPr>
        <w:t xml:space="preserve">X-ray diffraction (XRD) and X-ray absorption fine structure (XAFS) spectroscopy are widely used in materials science to determine crystal structure and chemical state, respectively, and both techniques are compatible with </w:t>
      </w:r>
      <w:r w:rsidR="0095495E" w:rsidRPr="008E410B">
        <w:rPr>
          <w:rFonts w:ascii="Arial" w:hAnsi="Arial" w:cs="Arial"/>
          <w:i/>
          <w:iCs/>
          <w:sz w:val="22"/>
          <w:szCs w:val="22"/>
          <w:lang w:val="en-GB"/>
        </w:rPr>
        <w:t>in situ</w:t>
      </w:r>
      <w:r w:rsidR="0095495E" w:rsidRPr="0095495E">
        <w:rPr>
          <w:rFonts w:ascii="Arial" w:hAnsi="Arial" w:cs="Arial"/>
          <w:sz w:val="22"/>
          <w:szCs w:val="22"/>
          <w:lang w:val="en-GB"/>
        </w:rPr>
        <w:t xml:space="preserve"> sample environments. Numerous authors have highlighted the advantages of recording XAFS and XRD within a single experimental session at a synchrotron </w:t>
      </w:r>
      <w:r w:rsidR="0095495E">
        <w:rPr>
          <w:rFonts w:ascii="Arial" w:hAnsi="Arial" w:cs="Arial"/>
          <w:sz w:val="22"/>
          <w:szCs w:val="22"/>
          <w:lang w:val="en-GB"/>
        </w:rPr>
        <w:t xml:space="preserve">radiation </w:t>
      </w:r>
      <w:r w:rsidR="0095495E" w:rsidRPr="0095495E">
        <w:rPr>
          <w:rFonts w:ascii="Arial" w:hAnsi="Arial" w:cs="Arial"/>
          <w:sz w:val="22"/>
          <w:szCs w:val="22"/>
          <w:lang w:val="en-GB"/>
        </w:rPr>
        <w:t>beamline, as the combined data sets provide substantially deeper insight into the probed sample volume than either technique alone. Such combined experiments are now performed at many beamlines</w:t>
      </w:r>
      <w:r w:rsidR="0095495E">
        <w:rPr>
          <w:rFonts w:ascii="Arial" w:hAnsi="Arial" w:cs="Arial"/>
          <w:sz w:val="22"/>
          <w:szCs w:val="22"/>
          <w:lang w:val="en-GB"/>
        </w:rPr>
        <w:t xml:space="preserve"> around the world</w:t>
      </w:r>
      <w:r w:rsidR="0095495E" w:rsidRPr="0095495E">
        <w:rPr>
          <w:rFonts w:ascii="Arial" w:hAnsi="Arial" w:cs="Arial"/>
          <w:sz w:val="22"/>
          <w:szCs w:val="22"/>
          <w:lang w:val="en-GB"/>
        </w:rPr>
        <w:t>.</w:t>
      </w:r>
    </w:p>
    <w:p w14:paraId="58C7DF9F" w14:textId="0905DC78" w:rsidR="0095495E" w:rsidRPr="0095495E" w:rsidRDefault="0095495E" w:rsidP="0095495E">
      <w:pPr>
        <w:pStyle w:val="paragraph"/>
        <w:rPr>
          <w:rFonts w:ascii="Arial" w:hAnsi="Arial" w:cs="Arial"/>
          <w:sz w:val="22"/>
          <w:szCs w:val="22"/>
          <w:lang w:val="en-GB"/>
        </w:rPr>
      </w:pPr>
      <w:r w:rsidRPr="0095495E">
        <w:rPr>
          <w:rFonts w:ascii="Arial" w:hAnsi="Arial" w:cs="Arial"/>
          <w:sz w:val="22"/>
          <w:szCs w:val="22"/>
          <w:lang w:val="en-GB"/>
        </w:rPr>
        <w:t xml:space="preserve">However, XAFS measurements must be carried out at the absorption edge of the analyte atom, an energy that is often lower than desired for XRD, where shorter wavelengths are </w:t>
      </w:r>
      <w:r w:rsidR="008E410B">
        <w:rPr>
          <w:rFonts w:ascii="Arial" w:hAnsi="Arial" w:cs="Arial"/>
          <w:sz w:val="22"/>
          <w:szCs w:val="22"/>
          <w:lang w:val="en-GB"/>
        </w:rPr>
        <w:t>often used</w:t>
      </w:r>
      <w:r w:rsidRPr="0095495E">
        <w:rPr>
          <w:rFonts w:ascii="Arial" w:hAnsi="Arial" w:cs="Arial"/>
          <w:sz w:val="22"/>
          <w:szCs w:val="22"/>
          <w:lang w:val="en-GB"/>
        </w:rPr>
        <w:t xml:space="preserve"> to</w:t>
      </w:r>
      <w:r w:rsidR="00B956DA">
        <w:rPr>
          <w:rFonts w:ascii="Arial" w:hAnsi="Arial" w:cs="Arial"/>
          <w:sz w:val="22"/>
          <w:szCs w:val="22"/>
          <w:lang w:val="en-GB"/>
        </w:rPr>
        <w:t xml:space="preserve"> avoid </w:t>
      </w:r>
      <w:r w:rsidR="008E410B">
        <w:rPr>
          <w:rFonts w:ascii="Arial" w:hAnsi="Arial" w:cs="Arial"/>
          <w:sz w:val="22"/>
          <w:szCs w:val="22"/>
          <w:lang w:val="en-GB"/>
        </w:rPr>
        <w:t>strong</w:t>
      </w:r>
      <w:r w:rsidR="00B956DA">
        <w:rPr>
          <w:rFonts w:ascii="Arial" w:hAnsi="Arial" w:cs="Arial"/>
          <w:sz w:val="22"/>
          <w:szCs w:val="22"/>
          <w:lang w:val="en-GB"/>
        </w:rPr>
        <w:t xml:space="preserve"> absorption and</w:t>
      </w:r>
      <w:r w:rsidRPr="0095495E">
        <w:rPr>
          <w:rFonts w:ascii="Arial" w:hAnsi="Arial" w:cs="Arial"/>
          <w:sz w:val="22"/>
          <w:szCs w:val="22"/>
          <w:lang w:val="en-GB"/>
        </w:rPr>
        <w:t xml:space="preserve"> </w:t>
      </w:r>
      <w:r w:rsidR="008E410B">
        <w:rPr>
          <w:rFonts w:ascii="Arial" w:hAnsi="Arial" w:cs="Arial"/>
          <w:sz w:val="22"/>
          <w:szCs w:val="22"/>
          <w:lang w:val="en-GB"/>
        </w:rPr>
        <w:t xml:space="preserve">to </w:t>
      </w:r>
      <w:r w:rsidRPr="0095495E">
        <w:rPr>
          <w:rFonts w:ascii="Arial" w:hAnsi="Arial" w:cs="Arial"/>
          <w:sz w:val="22"/>
          <w:szCs w:val="22"/>
          <w:lang w:val="en-GB"/>
        </w:rPr>
        <w:t>access a larger reciprocal space range.</w:t>
      </w:r>
      <w:r w:rsidR="00B956DA">
        <w:rPr>
          <w:rFonts w:ascii="Arial" w:hAnsi="Arial" w:cs="Arial"/>
          <w:sz w:val="22"/>
          <w:szCs w:val="22"/>
          <w:lang w:val="en-GB"/>
        </w:rPr>
        <w:t xml:space="preserve"> </w:t>
      </w:r>
      <w:r w:rsidRPr="0095495E">
        <w:rPr>
          <w:rFonts w:ascii="Arial" w:hAnsi="Arial" w:cs="Arial"/>
          <w:sz w:val="22"/>
          <w:szCs w:val="22"/>
          <w:lang w:val="en-GB"/>
        </w:rPr>
        <w:t xml:space="preserve">Combined XRD/XAFS studies therefore typically require </w:t>
      </w:r>
      <w:r>
        <w:rPr>
          <w:rFonts w:ascii="Arial" w:hAnsi="Arial" w:cs="Arial"/>
          <w:sz w:val="22"/>
          <w:szCs w:val="22"/>
          <w:lang w:val="en-GB"/>
        </w:rPr>
        <w:t>changing</w:t>
      </w:r>
      <w:r w:rsidRPr="0095495E">
        <w:rPr>
          <w:rFonts w:ascii="Arial" w:hAnsi="Arial" w:cs="Arial"/>
          <w:sz w:val="22"/>
          <w:szCs w:val="22"/>
          <w:lang w:val="en-GB"/>
        </w:rPr>
        <w:t xml:space="preserve"> the incident energy over a wide range, which is problematic when the sample evolves on time scales faster than tens of seconds. Moreover, changing the monochromator angle can induce beam motion, causing the two techniques to probe different sample volumes.</w:t>
      </w:r>
    </w:p>
    <w:p w14:paraId="6F6A4CC3" w14:textId="5944B098" w:rsidR="005166FE" w:rsidRPr="002E40F1" w:rsidRDefault="0095495E" w:rsidP="0095495E">
      <w:pPr>
        <w:pStyle w:val="paragraph"/>
        <w:rPr>
          <w:rFonts w:ascii="Arial" w:hAnsi="Arial" w:cs="Arial"/>
          <w:lang w:val="en-GB"/>
        </w:rPr>
      </w:pPr>
      <w:r w:rsidRPr="0095495E">
        <w:rPr>
          <w:rFonts w:ascii="Arial" w:hAnsi="Arial" w:cs="Arial"/>
          <w:sz w:val="22"/>
          <w:szCs w:val="22"/>
          <w:lang w:val="en-GB"/>
        </w:rPr>
        <w:t xml:space="preserve">Here we propose exploiting the first and third harmonics of a Si(111) double-crystal monochromator, combined with the 35 mm-period undulators at ESRF ID26, to enable truly simultaneous XRD/XAFS measurements. The main challenges of this approach are harmonic contamination in the spectroscopic data and the low photon flux available in the third harmonic for recording the XRD pattern. </w:t>
      </w:r>
      <w:r>
        <w:rPr>
          <w:rFonts w:ascii="Arial" w:hAnsi="Arial" w:cs="Arial"/>
          <w:sz w:val="22"/>
          <w:szCs w:val="22"/>
          <w:lang w:val="en-GB"/>
        </w:rPr>
        <w:t>We will present and discuss our first feasibility studies on ID26 where the powder diffraction patterns were recorded using 4 Mythen detectors.</w:t>
      </w:r>
    </w:p>
    <w:sectPr w:rsidR="005166FE" w:rsidRPr="002E40F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kita Vostrov" w:date="2026-07-08T10:26:00Z" w:initials="NV">
    <w:p w14:paraId="14B12D57" w14:textId="3882CF14" w:rsidR="00B956DA" w:rsidRPr="00AE09BF" w:rsidRDefault="00B956DA">
      <w:pPr>
        <w:pStyle w:val="CommentText"/>
        <w:rPr>
          <w:lang w:val="en-US"/>
        </w:rPr>
      </w:pPr>
      <w:r>
        <w:rPr>
          <w:rStyle w:val="CommentReference"/>
        </w:rPr>
        <w:annotationRef/>
      </w:r>
      <w:r w:rsidRPr="00AE09BF">
        <w:rPr>
          <w:lang w:val="en-US"/>
        </w:rPr>
        <w:t xml:space="preserve">Can we really call it simultaneous if we need to switch </w:t>
      </w:r>
      <w:r w:rsidR="00AE09BF" w:rsidRPr="00AE09BF">
        <w:rPr>
          <w:lang w:val="en-US"/>
        </w:rPr>
        <w:t>attenuator</w:t>
      </w:r>
      <w:r w:rsidR="00AE09BF">
        <w:rPr>
          <w:lang w:val="en-US"/>
        </w:rPr>
        <w:t>s between XRD and XAS measurement?</w:t>
      </w:r>
      <w:r w:rsidR="005A4A72">
        <w:rPr>
          <w:lang w:val="en-US"/>
        </w:rPr>
        <w:t xml:space="preserve"> maybe quasi simultaneous is better</w:t>
      </w:r>
      <w:r w:rsidRPr="00AE09BF">
        <w:rPr>
          <w:lang w:val="en-US"/>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B12D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A15932" w16cex:dateUtc="2026-07-08T0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B12D57" w16cid:durableId="7BA159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kita Vostrov">
    <w15:presenceInfo w15:providerId="Windows Live" w15:userId="c13752591c2259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FE"/>
    <w:rsid w:val="00041ED8"/>
    <w:rsid w:val="000702A3"/>
    <w:rsid w:val="00144B34"/>
    <w:rsid w:val="00291220"/>
    <w:rsid w:val="00297F1D"/>
    <w:rsid w:val="002E40F1"/>
    <w:rsid w:val="00342CEC"/>
    <w:rsid w:val="0037575B"/>
    <w:rsid w:val="003A6320"/>
    <w:rsid w:val="004E2BA6"/>
    <w:rsid w:val="005166FE"/>
    <w:rsid w:val="0055438D"/>
    <w:rsid w:val="005A4A72"/>
    <w:rsid w:val="0063764B"/>
    <w:rsid w:val="006477D0"/>
    <w:rsid w:val="00696E38"/>
    <w:rsid w:val="00761E50"/>
    <w:rsid w:val="007B4FB7"/>
    <w:rsid w:val="007E7378"/>
    <w:rsid w:val="008D0488"/>
    <w:rsid w:val="008D4E08"/>
    <w:rsid w:val="008E410B"/>
    <w:rsid w:val="0091292E"/>
    <w:rsid w:val="009157E2"/>
    <w:rsid w:val="0095495E"/>
    <w:rsid w:val="009C2013"/>
    <w:rsid w:val="009E7A1A"/>
    <w:rsid w:val="00AB0574"/>
    <w:rsid w:val="00AB1846"/>
    <w:rsid w:val="00AE09BF"/>
    <w:rsid w:val="00B06DCF"/>
    <w:rsid w:val="00B0712E"/>
    <w:rsid w:val="00B956DA"/>
    <w:rsid w:val="00CF36A0"/>
    <w:rsid w:val="00D54FF6"/>
    <w:rsid w:val="00DF3681"/>
    <w:rsid w:val="00E30A4A"/>
    <w:rsid w:val="00EA43B8"/>
    <w:rsid w:val="00FE06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DA538"/>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Heading1">
    <w:name w:val="heading 1"/>
    <w:basedOn w:val="Normal"/>
    <w:qFormat/>
    <w:rsid w:val="005166FE"/>
    <w:pPr>
      <w:keepNext/>
      <w:spacing w:before="240" w:after="240"/>
      <w:jc w:val="center"/>
      <w:outlineLvl w:val="0"/>
    </w:pPr>
    <w:rPr>
      <w:b/>
      <w:bCs/>
      <w:cap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 w:type="character" w:styleId="Emphasis">
    <w:name w:val="Emphasis"/>
    <w:uiPriority w:val="20"/>
    <w:qFormat/>
    <w:rsid w:val="00761E50"/>
    <w:rPr>
      <w:i/>
      <w:iCs/>
    </w:rPr>
  </w:style>
  <w:style w:type="character" w:styleId="Strong">
    <w:name w:val="Strong"/>
    <w:uiPriority w:val="22"/>
    <w:qFormat/>
    <w:rsid w:val="00761E50"/>
    <w:rPr>
      <w:b/>
      <w:bCs/>
    </w:rPr>
  </w:style>
  <w:style w:type="paragraph" w:customStyle="1" w:styleId="isselectedend">
    <w:name w:val="isselectedend"/>
    <w:basedOn w:val="Normal"/>
    <w:rsid w:val="00761E50"/>
    <w:pPr>
      <w:spacing w:before="100" w:beforeAutospacing="1" w:after="100" w:afterAutospacing="1"/>
    </w:pPr>
    <w:rPr>
      <w:lang w:val="en-US" w:eastAsia="en-US"/>
    </w:rPr>
  </w:style>
  <w:style w:type="paragraph" w:styleId="Revision">
    <w:name w:val="Revision"/>
    <w:hidden/>
    <w:uiPriority w:val="99"/>
    <w:semiHidden/>
    <w:rsid w:val="00AB0574"/>
    <w:rPr>
      <w:sz w:val="24"/>
      <w:szCs w:val="24"/>
      <w:lang w:val="fr-FR" w:eastAsia="fr-FR"/>
    </w:rPr>
  </w:style>
  <w:style w:type="character" w:styleId="CommentReference">
    <w:name w:val="annotation reference"/>
    <w:basedOn w:val="DefaultParagraphFont"/>
    <w:rsid w:val="00B956DA"/>
    <w:rPr>
      <w:sz w:val="16"/>
      <w:szCs w:val="16"/>
    </w:rPr>
  </w:style>
  <w:style w:type="paragraph" w:styleId="CommentText">
    <w:name w:val="annotation text"/>
    <w:basedOn w:val="Normal"/>
    <w:link w:val="CommentTextChar"/>
    <w:rsid w:val="00B956DA"/>
    <w:rPr>
      <w:sz w:val="20"/>
      <w:szCs w:val="20"/>
    </w:rPr>
  </w:style>
  <w:style w:type="character" w:customStyle="1" w:styleId="CommentTextChar">
    <w:name w:val="Comment Text Char"/>
    <w:basedOn w:val="DefaultParagraphFont"/>
    <w:link w:val="CommentText"/>
    <w:rsid w:val="00B956DA"/>
    <w:rPr>
      <w:lang w:val="fr-FR" w:eastAsia="fr-FR"/>
    </w:rPr>
  </w:style>
  <w:style w:type="paragraph" w:styleId="CommentSubject">
    <w:name w:val="annotation subject"/>
    <w:basedOn w:val="CommentText"/>
    <w:next w:val="CommentText"/>
    <w:link w:val="CommentSubjectChar"/>
    <w:rsid w:val="00B956DA"/>
    <w:rPr>
      <w:b/>
      <w:bCs/>
    </w:rPr>
  </w:style>
  <w:style w:type="character" w:customStyle="1" w:styleId="CommentSubjectChar">
    <w:name w:val="Comment Subject Char"/>
    <w:basedOn w:val="CommentTextChar"/>
    <w:link w:val="CommentSubject"/>
    <w:rsid w:val="00B956DA"/>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6600">
      <w:bodyDiv w:val="1"/>
      <w:marLeft w:val="0"/>
      <w:marRight w:val="0"/>
      <w:marTop w:val="0"/>
      <w:marBottom w:val="0"/>
      <w:divBdr>
        <w:top w:val="none" w:sz="0" w:space="0" w:color="auto"/>
        <w:left w:val="none" w:sz="0" w:space="0" w:color="auto"/>
        <w:bottom w:val="none" w:sz="0" w:space="0" w:color="auto"/>
        <w:right w:val="none" w:sz="0" w:space="0" w:color="auto"/>
      </w:divBdr>
    </w:div>
    <w:div w:id="96606507">
      <w:bodyDiv w:val="1"/>
      <w:marLeft w:val="0"/>
      <w:marRight w:val="0"/>
      <w:marTop w:val="0"/>
      <w:marBottom w:val="0"/>
      <w:divBdr>
        <w:top w:val="none" w:sz="0" w:space="0" w:color="auto"/>
        <w:left w:val="none" w:sz="0" w:space="0" w:color="auto"/>
        <w:bottom w:val="none" w:sz="0" w:space="0" w:color="auto"/>
        <w:right w:val="none" w:sz="0" w:space="0" w:color="auto"/>
      </w:divBdr>
    </w:div>
    <w:div w:id="296112597">
      <w:bodyDiv w:val="1"/>
      <w:marLeft w:val="0"/>
      <w:marRight w:val="0"/>
      <w:marTop w:val="0"/>
      <w:marBottom w:val="0"/>
      <w:divBdr>
        <w:top w:val="none" w:sz="0" w:space="0" w:color="auto"/>
        <w:left w:val="none" w:sz="0" w:space="0" w:color="auto"/>
        <w:bottom w:val="none" w:sz="0" w:space="0" w:color="auto"/>
        <w:right w:val="none" w:sz="0" w:space="0" w:color="auto"/>
      </w:divBdr>
    </w:div>
    <w:div w:id="839471901">
      <w:bodyDiv w:val="1"/>
      <w:marLeft w:val="0"/>
      <w:marRight w:val="0"/>
      <w:marTop w:val="0"/>
      <w:marBottom w:val="0"/>
      <w:divBdr>
        <w:top w:val="none" w:sz="0" w:space="0" w:color="auto"/>
        <w:left w:val="none" w:sz="0" w:space="0" w:color="auto"/>
        <w:bottom w:val="none" w:sz="0" w:space="0" w:color="auto"/>
        <w:right w:val="none" w:sz="0" w:space="0" w:color="auto"/>
      </w:divBdr>
    </w:div>
    <w:div w:id="170652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TEMPLATE3.dot</Template>
  <TotalTime>3</TotalTime>
  <Pages>1</Pages>
  <Words>295</Words>
  <Characters>1724</Characters>
  <Application>Microsoft Office Word</Application>
  <DocSecurity>0</DocSecurity>
  <Lines>14</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Title Goes Here With Each Initial Letter Capitalized</vt:lpstr>
      <vt:lpstr>The Title Goes Here With Each Initial Letter Capitalized</vt:lpstr>
    </vt:vector>
  </TitlesOfParts>
  <Company>Synchrotron SOLEIL</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GLATZEL Jan Pieter</cp:lastModifiedBy>
  <cp:revision>3</cp:revision>
  <cp:lastPrinted>1899-12-31T23:50:00Z</cp:lastPrinted>
  <dcterms:created xsi:type="dcterms:W3CDTF">2026-07-08T11:38:00Z</dcterms:created>
  <dcterms:modified xsi:type="dcterms:W3CDTF">2026-07-08T11:41:00Z</dcterms:modified>
</cp:coreProperties>
</file>