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D1B1E" w14:textId="77777777" w:rsidR="00474BCC" w:rsidRDefault="00E538F8" w:rsidP="00474BCC">
      <w:pPr>
        <w:spacing w:before="960" w:after="0" w:line="240" w:lineRule="auto"/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  <w:r w:rsidRPr="00474BCC">
        <w:rPr>
          <w:rFonts w:ascii="Arial" w:hAnsi="Arial" w:cs="Arial"/>
          <w:b/>
          <w:bCs/>
          <w:sz w:val="36"/>
          <w:szCs w:val="36"/>
          <w:lang w:val="en-US"/>
        </w:rPr>
        <w:t xml:space="preserve">Unlocking Reliable Operando XAS Characterization of Electrode Materials with </w:t>
      </w:r>
    </w:p>
    <w:p w14:paraId="07E44C2C" w14:textId="09287495" w:rsidR="00910DFB" w:rsidRPr="0058122B" w:rsidRDefault="00E538F8" w:rsidP="00474BCC">
      <w:pPr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58122B">
        <w:rPr>
          <w:rFonts w:ascii="Arial" w:hAnsi="Arial" w:cs="Arial"/>
          <w:b/>
          <w:bCs/>
          <w:sz w:val="36"/>
          <w:szCs w:val="36"/>
        </w:rPr>
        <w:t>Full-Field Hyperspectral Imaging.</w:t>
      </w:r>
    </w:p>
    <w:p w14:paraId="392DB448" w14:textId="77777777" w:rsidR="005202D2" w:rsidRPr="00474BCC" w:rsidRDefault="005202D2" w:rsidP="00474BCC">
      <w:pPr>
        <w:pStyle w:val="Abstractauthors"/>
        <w:spacing w:before="360" w:after="360"/>
        <w:jc w:val="center"/>
        <w:rPr>
          <w:rFonts w:ascii="Arial" w:hAnsi="Arial" w:cs="Arial"/>
          <w:sz w:val="28"/>
          <w:szCs w:val="28"/>
          <w:lang w:val="fr-FR"/>
        </w:rPr>
      </w:pPr>
      <w:r w:rsidRPr="00FF7703">
        <w:rPr>
          <w:rFonts w:ascii="Arial" w:hAnsi="Arial" w:cs="Arial"/>
          <w:sz w:val="28"/>
          <w:szCs w:val="28"/>
          <w:lang w:val="fr-FR"/>
        </w:rPr>
        <w:t>Stéphanie Belin</w:t>
      </w:r>
      <w:r w:rsidRPr="00FF7703">
        <w:rPr>
          <w:rFonts w:ascii="Arial" w:hAnsi="Arial" w:cs="Arial"/>
          <w:sz w:val="28"/>
          <w:szCs w:val="28"/>
          <w:vertAlign w:val="superscript"/>
          <w:lang w:val="fr-FR"/>
        </w:rPr>
        <w:t>1</w:t>
      </w:r>
      <w:r w:rsidRPr="00FF7703">
        <w:rPr>
          <w:rFonts w:ascii="Arial" w:hAnsi="Arial" w:cs="Arial"/>
          <w:sz w:val="28"/>
          <w:szCs w:val="28"/>
          <w:lang w:val="fr-FR"/>
        </w:rPr>
        <w:t>,</w:t>
      </w:r>
      <w:r w:rsidRPr="00474BCC">
        <w:rPr>
          <w:rFonts w:ascii="Arial" w:hAnsi="Arial" w:cs="Arial"/>
          <w:sz w:val="28"/>
          <w:szCs w:val="28"/>
          <w:lang w:val="fr-FR"/>
        </w:rPr>
        <w:t xml:space="preserve"> Valérie Briois</w:t>
      </w:r>
      <w:r w:rsidRPr="00474BCC">
        <w:rPr>
          <w:rFonts w:ascii="Arial" w:hAnsi="Arial" w:cs="Arial"/>
          <w:sz w:val="28"/>
          <w:szCs w:val="28"/>
          <w:vertAlign w:val="superscript"/>
          <w:lang w:val="fr-FR"/>
        </w:rPr>
        <w:t>1</w:t>
      </w:r>
      <w:r w:rsidRPr="00474BCC">
        <w:rPr>
          <w:rFonts w:ascii="Arial" w:hAnsi="Arial" w:cs="Arial"/>
          <w:sz w:val="28"/>
          <w:szCs w:val="28"/>
          <w:lang w:val="fr-FR"/>
        </w:rPr>
        <w:t>, Anthony Beauvois</w:t>
      </w:r>
      <w:r w:rsidRPr="00474BCC">
        <w:rPr>
          <w:rFonts w:ascii="Arial" w:hAnsi="Arial" w:cs="Arial"/>
          <w:sz w:val="28"/>
          <w:szCs w:val="28"/>
          <w:vertAlign w:val="superscript"/>
          <w:lang w:val="fr-FR"/>
        </w:rPr>
        <w:t>1</w:t>
      </w:r>
      <w:r w:rsidRPr="00474BCC">
        <w:rPr>
          <w:rFonts w:ascii="Arial" w:hAnsi="Arial" w:cs="Arial"/>
          <w:sz w:val="28"/>
          <w:szCs w:val="28"/>
          <w:lang w:val="fr-FR"/>
        </w:rPr>
        <w:t>, Antonella Iadecola</w:t>
      </w:r>
      <w:r w:rsidRPr="00474BCC">
        <w:rPr>
          <w:rFonts w:ascii="Arial" w:hAnsi="Arial" w:cs="Arial"/>
          <w:sz w:val="28"/>
          <w:szCs w:val="28"/>
          <w:vertAlign w:val="superscript"/>
          <w:lang w:val="fr-FR"/>
        </w:rPr>
        <w:t>2,3</w:t>
      </w:r>
      <w:r w:rsidRPr="00474BCC">
        <w:rPr>
          <w:rFonts w:ascii="Arial" w:hAnsi="Arial" w:cs="Arial"/>
          <w:sz w:val="28"/>
          <w:szCs w:val="28"/>
          <w:lang w:val="fr-FR"/>
        </w:rPr>
        <w:t>, Francesco La Porta</w:t>
      </w:r>
      <w:r w:rsidRPr="00474BCC">
        <w:rPr>
          <w:rFonts w:ascii="Arial" w:hAnsi="Arial" w:cs="Arial"/>
          <w:sz w:val="28"/>
          <w:szCs w:val="28"/>
          <w:vertAlign w:val="superscript"/>
          <w:lang w:val="fr-FR"/>
        </w:rPr>
        <w:t>1</w:t>
      </w:r>
      <w:r w:rsidRPr="00474BCC">
        <w:rPr>
          <w:rFonts w:ascii="Arial" w:hAnsi="Arial" w:cs="Arial"/>
          <w:sz w:val="28"/>
          <w:szCs w:val="28"/>
          <w:lang w:val="fr-FR"/>
        </w:rPr>
        <w:t>.</w:t>
      </w:r>
    </w:p>
    <w:p w14:paraId="2969F723" w14:textId="77777777" w:rsidR="005202D2" w:rsidRPr="00474BCC" w:rsidRDefault="005202D2" w:rsidP="00474BC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474BCC">
        <w:rPr>
          <w:rFonts w:ascii="Arial" w:hAnsi="Arial" w:cs="Arial"/>
          <w:i/>
          <w:sz w:val="20"/>
          <w:szCs w:val="20"/>
          <w:vertAlign w:val="superscript"/>
        </w:rPr>
        <w:t>1</w:t>
      </w:r>
      <w:r w:rsidRPr="00474BCC">
        <w:rPr>
          <w:rFonts w:ascii="Arial" w:hAnsi="Arial" w:cs="Arial"/>
          <w:i/>
          <w:sz w:val="20"/>
          <w:szCs w:val="20"/>
        </w:rPr>
        <w:t xml:space="preserve"> Synchrotron SOLEIL, L’Orme des Merisiers, Saint Aubin BP 48, 91190 Saint Aubin, France</w:t>
      </w:r>
    </w:p>
    <w:p w14:paraId="613AD068" w14:textId="77777777" w:rsidR="005202D2" w:rsidRPr="00474BCC" w:rsidRDefault="005202D2" w:rsidP="00474BCC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74BCC">
        <w:rPr>
          <w:rFonts w:ascii="Arial" w:hAnsi="Arial" w:cs="Arial"/>
          <w:i/>
          <w:sz w:val="20"/>
          <w:szCs w:val="20"/>
          <w:vertAlign w:val="superscript"/>
        </w:rPr>
        <w:t>2</w:t>
      </w:r>
      <w:r w:rsidRPr="00474BCC">
        <w:rPr>
          <w:rFonts w:ascii="Arial" w:hAnsi="Arial" w:cs="Arial"/>
          <w:i/>
          <w:sz w:val="20"/>
          <w:szCs w:val="20"/>
        </w:rPr>
        <w:t xml:space="preserve"> Réseau sur le Stockage Electrochimique de l′Energie (RS2E), CNRS FR 3459, France</w:t>
      </w:r>
    </w:p>
    <w:p w14:paraId="285A05B1" w14:textId="77777777" w:rsidR="005202D2" w:rsidRPr="00474BCC" w:rsidRDefault="005202D2" w:rsidP="00474BCC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74BCC">
        <w:rPr>
          <w:rFonts w:ascii="Arial" w:hAnsi="Arial" w:cs="Arial"/>
          <w:i/>
          <w:sz w:val="20"/>
          <w:szCs w:val="20"/>
          <w:vertAlign w:val="superscript"/>
        </w:rPr>
        <w:t>3</w:t>
      </w:r>
      <w:r w:rsidRPr="00474BCC">
        <w:rPr>
          <w:rFonts w:ascii="Arial" w:hAnsi="Arial" w:cs="Arial"/>
          <w:i/>
          <w:sz w:val="20"/>
          <w:szCs w:val="20"/>
        </w:rPr>
        <w:t xml:space="preserve"> Sorbonne Université, CNRS, Physicochimie des Électrolytes et </w:t>
      </w:r>
      <w:proofErr w:type="spellStart"/>
      <w:r w:rsidRPr="00474BCC">
        <w:rPr>
          <w:rFonts w:ascii="Arial" w:hAnsi="Arial" w:cs="Arial"/>
          <w:i/>
          <w:sz w:val="20"/>
          <w:szCs w:val="20"/>
        </w:rPr>
        <w:t>Nanosystèmes</w:t>
      </w:r>
      <w:proofErr w:type="spellEnd"/>
      <w:r w:rsidRPr="00474BCC">
        <w:rPr>
          <w:rFonts w:ascii="Arial" w:hAnsi="Arial" w:cs="Arial"/>
          <w:i/>
          <w:sz w:val="20"/>
          <w:szCs w:val="20"/>
        </w:rPr>
        <w:t xml:space="preserve"> Interfaciaux, F-75005 Paris, France</w:t>
      </w:r>
    </w:p>
    <w:p w14:paraId="366C6A49" w14:textId="5EB88BC9" w:rsidR="00E538F8" w:rsidRPr="0058122B" w:rsidRDefault="00474BCC" w:rsidP="00474BCC">
      <w:pPr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58122B">
        <w:rPr>
          <w:rFonts w:ascii="Arial" w:hAnsi="Arial" w:cs="Arial"/>
          <w:b/>
          <w:bCs/>
          <w:sz w:val="22"/>
          <w:szCs w:val="22"/>
          <w:lang w:val="en-US"/>
        </w:rPr>
        <w:t>ABSTRACT</w:t>
      </w:r>
    </w:p>
    <w:p w14:paraId="06BE503F" w14:textId="24E2393A" w:rsidR="004741A2" w:rsidRDefault="00067B7D" w:rsidP="007967F9">
      <w:pPr>
        <w:spacing w:before="240" w:after="240" w:line="240" w:lineRule="auto"/>
        <w:ind w:firstLine="284"/>
        <w:jc w:val="both"/>
        <w:rPr>
          <w:rFonts w:ascii="Arial" w:hAnsi="Arial" w:cs="Arial"/>
          <w:sz w:val="22"/>
          <w:szCs w:val="22"/>
          <w:lang w:val="en-US"/>
        </w:rPr>
      </w:pPr>
      <w:r w:rsidRPr="00067B7D">
        <w:rPr>
          <w:rFonts w:ascii="Arial" w:hAnsi="Arial" w:cs="Arial"/>
          <w:sz w:val="22"/>
          <w:szCs w:val="22"/>
          <w:lang w:val="en-US"/>
        </w:rPr>
        <w:t>Since the 1990s, X-ray absorption spectroscopy</w:t>
      </w:r>
      <w:r>
        <w:rPr>
          <w:rFonts w:ascii="Arial" w:hAnsi="Arial" w:cs="Arial"/>
          <w:sz w:val="22"/>
          <w:szCs w:val="22"/>
          <w:lang w:val="en-US"/>
        </w:rPr>
        <w:t xml:space="preserve"> (XAS)</w:t>
      </w:r>
      <w:r w:rsidRPr="00067B7D">
        <w:rPr>
          <w:rFonts w:ascii="Arial" w:hAnsi="Arial" w:cs="Arial"/>
          <w:sz w:val="22"/>
          <w:szCs w:val="22"/>
          <w:lang w:val="en-US"/>
        </w:rPr>
        <w:t xml:space="preserve"> has been u</w:t>
      </w:r>
      <w:r w:rsidR="0058122B">
        <w:rPr>
          <w:rFonts w:ascii="Arial" w:hAnsi="Arial" w:cs="Arial"/>
          <w:sz w:val="22"/>
          <w:szCs w:val="22"/>
          <w:lang w:val="en-US"/>
        </w:rPr>
        <w:t>sed</w:t>
      </w:r>
      <w:r w:rsidRPr="00067B7D">
        <w:rPr>
          <w:rFonts w:ascii="Arial" w:hAnsi="Arial" w:cs="Arial"/>
          <w:sz w:val="22"/>
          <w:szCs w:val="22"/>
          <w:lang w:val="en-US"/>
        </w:rPr>
        <w:t xml:space="preserve"> as a chemical probe to characterize electrode materials, initially in ex situ experiments to determine the local structure and oxidation state of the involved cation</w:t>
      </w:r>
      <w:r w:rsidR="006C2587" w:rsidRPr="006C2587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="000B4F04">
        <w:rPr>
          <w:lang w:val="en-US"/>
        </w:rPr>
        <w:t xml:space="preserve">. </w:t>
      </w:r>
      <w:r w:rsidR="00655ACD" w:rsidRPr="00655ACD">
        <w:rPr>
          <w:rFonts w:ascii="Arial" w:hAnsi="Arial" w:cs="Arial"/>
          <w:sz w:val="22"/>
          <w:szCs w:val="22"/>
          <w:lang w:val="en-US"/>
        </w:rPr>
        <w:t xml:space="preserve">These early studies, however, faced limitations due to electrode removal from electrochemical cells </w:t>
      </w:r>
      <w:r w:rsidRPr="00067B7D">
        <w:rPr>
          <w:rFonts w:ascii="Arial" w:hAnsi="Arial" w:cs="Arial"/>
          <w:sz w:val="22"/>
          <w:szCs w:val="22"/>
          <w:lang w:val="en-US"/>
        </w:rPr>
        <w:t xml:space="preserve">(such as artefacts </w:t>
      </w:r>
      <w:r w:rsidR="0058122B">
        <w:rPr>
          <w:rFonts w:ascii="Arial" w:hAnsi="Arial" w:cs="Arial"/>
          <w:sz w:val="22"/>
          <w:szCs w:val="22"/>
          <w:lang w:val="en-US"/>
        </w:rPr>
        <w:t>from</w:t>
      </w:r>
      <w:r w:rsidRPr="00067B7D">
        <w:rPr>
          <w:rFonts w:ascii="Arial" w:hAnsi="Arial" w:cs="Arial"/>
          <w:sz w:val="22"/>
          <w:szCs w:val="22"/>
          <w:lang w:val="en-US"/>
        </w:rPr>
        <w:t xml:space="preserve"> washing, short-circuiting </w:t>
      </w:r>
      <w:r w:rsidR="0058122B">
        <w:rPr>
          <w:rFonts w:ascii="Arial" w:hAnsi="Arial" w:cs="Arial"/>
          <w:sz w:val="22"/>
          <w:szCs w:val="22"/>
          <w:lang w:val="en-US"/>
        </w:rPr>
        <w:t xml:space="preserve">during </w:t>
      </w:r>
      <w:r w:rsidRPr="00067B7D">
        <w:rPr>
          <w:rFonts w:ascii="Arial" w:hAnsi="Arial" w:cs="Arial"/>
          <w:sz w:val="22"/>
          <w:szCs w:val="22"/>
          <w:lang w:val="en-US"/>
        </w:rPr>
        <w:t>disassembl</w:t>
      </w:r>
      <w:r w:rsidR="0058122B">
        <w:rPr>
          <w:rFonts w:ascii="Arial" w:hAnsi="Arial" w:cs="Arial"/>
          <w:sz w:val="22"/>
          <w:szCs w:val="22"/>
          <w:lang w:val="en-US"/>
        </w:rPr>
        <w:t>y</w:t>
      </w:r>
      <w:r w:rsidRPr="00067B7D">
        <w:rPr>
          <w:rFonts w:ascii="Arial" w:hAnsi="Arial" w:cs="Arial"/>
          <w:sz w:val="22"/>
          <w:szCs w:val="22"/>
          <w:lang w:val="en-US"/>
        </w:rPr>
        <w:t>,</w:t>
      </w:r>
      <w:r w:rsidR="0058122B">
        <w:rPr>
          <w:rFonts w:ascii="Arial" w:hAnsi="Arial" w:cs="Arial"/>
          <w:sz w:val="22"/>
          <w:szCs w:val="22"/>
          <w:lang w:val="en-US"/>
        </w:rPr>
        <w:t xml:space="preserve"> </w:t>
      </w:r>
      <w:r w:rsidRPr="00067B7D">
        <w:rPr>
          <w:rFonts w:ascii="Arial" w:hAnsi="Arial" w:cs="Arial"/>
          <w:sz w:val="22"/>
          <w:szCs w:val="22"/>
          <w:lang w:val="en-US"/>
        </w:rPr>
        <w:t>undesired air exposur</w:t>
      </w:r>
      <w:r w:rsidR="001F3B30">
        <w:rPr>
          <w:rFonts w:ascii="Arial" w:hAnsi="Arial" w:cs="Arial"/>
          <w:sz w:val="22"/>
          <w:szCs w:val="22"/>
          <w:lang w:val="en-US"/>
        </w:rPr>
        <w:t>e, or potential state-of-charge variations</w:t>
      </w:r>
      <w:r w:rsidRPr="00067B7D">
        <w:rPr>
          <w:rFonts w:ascii="Arial" w:hAnsi="Arial" w:cs="Arial"/>
          <w:sz w:val="22"/>
          <w:szCs w:val="22"/>
          <w:lang w:val="en-US"/>
        </w:rPr>
        <w:t>)</w:t>
      </w:r>
      <w:r w:rsidR="006C2587" w:rsidRPr="006C2587">
        <w:rPr>
          <w:rFonts w:ascii="Arial" w:hAnsi="Arial" w:cs="Arial"/>
          <w:sz w:val="22"/>
          <w:szCs w:val="22"/>
          <w:vertAlign w:val="superscript"/>
          <w:lang w:val="en-US"/>
        </w:rPr>
        <w:t>2</w:t>
      </w:r>
      <w:r w:rsidR="00A1745F">
        <w:rPr>
          <w:rFonts w:ascii="Arial" w:hAnsi="Arial" w:cs="Arial"/>
          <w:sz w:val="22"/>
          <w:szCs w:val="22"/>
          <w:vertAlign w:val="superscript"/>
          <w:lang w:val="en-US"/>
        </w:rPr>
        <w:t>-4</w:t>
      </w:r>
      <w:r w:rsidRPr="00067B7D"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2A440869" w14:textId="0E59BAEA" w:rsidR="00067B7D" w:rsidRPr="00B1201B" w:rsidRDefault="007C5306" w:rsidP="000B4F04">
      <w:pPr>
        <w:spacing w:before="240" w:after="240" w:line="240" w:lineRule="auto"/>
        <w:ind w:firstLine="284"/>
        <w:jc w:val="both"/>
        <w:rPr>
          <w:rFonts w:ascii="Arial" w:hAnsi="Arial" w:cs="Arial"/>
          <w:sz w:val="22"/>
          <w:szCs w:val="22"/>
          <w:lang w:val="en-US"/>
        </w:rPr>
      </w:pPr>
      <w:r w:rsidRPr="007C5306">
        <w:rPr>
          <w:rFonts w:ascii="Arial" w:hAnsi="Arial" w:cs="Arial"/>
          <w:sz w:val="22"/>
          <w:szCs w:val="22"/>
          <w:lang w:val="en-US"/>
        </w:rPr>
        <w:t>To address these challenges, in situ approaches were developed, allowing measurements under more controlled conditions</w:t>
      </w:r>
      <w:r w:rsidR="00245028">
        <w:rPr>
          <w:rFonts w:ascii="Arial" w:hAnsi="Arial" w:cs="Arial"/>
          <w:sz w:val="22"/>
          <w:szCs w:val="22"/>
          <w:vertAlign w:val="superscript"/>
          <w:lang w:val="en-US"/>
        </w:rPr>
        <w:t>2-5</w:t>
      </w:r>
      <w:r w:rsidRPr="007C5306">
        <w:rPr>
          <w:rFonts w:ascii="Arial" w:hAnsi="Arial" w:cs="Arial"/>
          <w:sz w:val="22"/>
          <w:szCs w:val="22"/>
          <w:lang w:val="en-US"/>
        </w:rPr>
        <w:t>. Yet another two decades passed before operando measurements became feasible, driven by advances in synchrotron technology</w:t>
      </w:r>
      <w:r w:rsidR="00245028" w:rsidRPr="00245028">
        <w:rPr>
          <w:rFonts w:ascii="Arial" w:hAnsi="Arial" w:cs="Arial"/>
          <w:sz w:val="22"/>
          <w:szCs w:val="22"/>
          <w:vertAlign w:val="superscript"/>
          <w:lang w:val="en-US"/>
        </w:rPr>
        <w:t>6</w:t>
      </w:r>
      <w:r w:rsidRPr="007C5306">
        <w:rPr>
          <w:rFonts w:ascii="Arial" w:hAnsi="Arial" w:cs="Arial"/>
          <w:sz w:val="22"/>
          <w:szCs w:val="22"/>
          <w:lang w:val="en-US"/>
        </w:rPr>
        <w:t>. The advent of 3rd- and 4th-generation synchrotrons, with their higher photon fluxes, enabled faster detection modes and improved signal-to-noise ratios</w:t>
      </w:r>
      <w:r w:rsidR="000B4F04">
        <w:rPr>
          <w:rFonts w:ascii="Arial" w:hAnsi="Arial" w:cs="Arial"/>
          <w:sz w:val="22"/>
          <w:szCs w:val="22"/>
          <w:lang w:val="en-US"/>
        </w:rPr>
        <w:t>.</w:t>
      </w:r>
      <w:r w:rsidRPr="007C5306">
        <w:rPr>
          <w:lang w:val="en-US"/>
        </w:rPr>
        <w:t xml:space="preserve"> </w:t>
      </w:r>
      <w:r w:rsidRPr="007C5306">
        <w:rPr>
          <w:rFonts w:ascii="Arial" w:hAnsi="Arial" w:cs="Arial"/>
          <w:sz w:val="22"/>
          <w:szCs w:val="22"/>
          <w:lang w:val="en-US"/>
        </w:rPr>
        <w:t>While these upgrades facilitated operando studies, they also introduced new issues: increased photon flux and brilliance could induce transient or permanent beam effects on the electrodes</w:t>
      </w:r>
      <w:r w:rsidR="00A1745F">
        <w:rPr>
          <w:rFonts w:ascii="Arial" w:hAnsi="Arial" w:cs="Arial"/>
          <w:sz w:val="22"/>
          <w:szCs w:val="22"/>
          <w:vertAlign w:val="superscript"/>
          <w:lang w:val="en-US"/>
        </w:rPr>
        <w:t>7</w:t>
      </w:r>
      <w:r w:rsidR="005D28B8">
        <w:rPr>
          <w:rFonts w:ascii="Arial" w:hAnsi="Arial" w:cs="Arial"/>
          <w:sz w:val="22"/>
          <w:szCs w:val="22"/>
          <w:vertAlign w:val="superscript"/>
          <w:lang w:val="en-US"/>
        </w:rPr>
        <w:t>-9</w:t>
      </w:r>
      <w:r w:rsidR="00067B7D" w:rsidRPr="006C2587">
        <w:rPr>
          <w:rFonts w:ascii="Arial" w:hAnsi="Arial" w:cs="Arial"/>
          <w:sz w:val="22"/>
          <w:szCs w:val="22"/>
          <w:lang w:val="en-US"/>
        </w:rPr>
        <w:t>.</w:t>
      </w:r>
      <w:r w:rsidR="000B4F04">
        <w:rPr>
          <w:rFonts w:ascii="Arial" w:hAnsi="Arial" w:cs="Arial"/>
          <w:sz w:val="22"/>
          <w:szCs w:val="22"/>
          <w:lang w:val="en-US"/>
        </w:rPr>
        <w:t xml:space="preserve"> </w:t>
      </w:r>
      <w:r w:rsidRPr="007C5306">
        <w:rPr>
          <w:rFonts w:ascii="Arial" w:hAnsi="Arial" w:cs="Arial"/>
          <w:sz w:val="22"/>
          <w:szCs w:val="22"/>
          <w:lang w:val="en-US"/>
        </w:rPr>
        <w:t>Despite significant improvements in electrochemical cell design</w:t>
      </w:r>
      <w:r>
        <w:rPr>
          <w:rFonts w:ascii="Arial" w:hAnsi="Arial" w:cs="Arial"/>
          <w:sz w:val="22"/>
          <w:szCs w:val="22"/>
          <w:lang w:val="en-US"/>
        </w:rPr>
        <w:t xml:space="preserve"> l</w:t>
      </w:r>
      <w:r w:rsidRPr="007C5306">
        <w:rPr>
          <w:rFonts w:ascii="Arial" w:hAnsi="Arial" w:cs="Arial"/>
          <w:sz w:val="22"/>
          <w:szCs w:val="22"/>
          <w:lang w:val="en-US"/>
        </w:rPr>
        <w:t>eading to more reliable and reproducible performance</w:t>
      </w:r>
      <w:r>
        <w:rPr>
          <w:rFonts w:ascii="Arial" w:hAnsi="Arial" w:cs="Arial"/>
          <w:sz w:val="22"/>
          <w:szCs w:val="22"/>
          <w:lang w:val="en-US"/>
        </w:rPr>
        <w:t xml:space="preserve">, </w:t>
      </w:r>
      <w:r w:rsidRPr="007C5306">
        <w:rPr>
          <w:rFonts w:ascii="Arial" w:hAnsi="Arial" w:cs="Arial"/>
          <w:sz w:val="22"/>
          <w:szCs w:val="22"/>
          <w:lang w:val="en-US"/>
        </w:rPr>
        <w:t>certain limitations</w:t>
      </w:r>
      <w:r w:rsidRPr="007C5306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Pr="007C5306">
        <w:rPr>
          <w:rFonts w:ascii="Arial" w:hAnsi="Arial" w:cs="Arial"/>
          <w:sz w:val="22"/>
          <w:szCs w:val="22"/>
          <w:lang w:val="en-US"/>
        </w:rPr>
        <w:t>persis</w:t>
      </w:r>
      <w:r w:rsidR="005D28B8">
        <w:rPr>
          <w:rFonts w:ascii="Arial" w:hAnsi="Arial" w:cs="Arial"/>
          <w:sz w:val="22"/>
          <w:szCs w:val="22"/>
          <w:vertAlign w:val="superscript"/>
          <w:lang w:val="en-US"/>
        </w:rPr>
        <w:t>10</w:t>
      </w:r>
      <w:r w:rsidR="000D4D6A" w:rsidRPr="006C2587">
        <w:rPr>
          <w:rFonts w:ascii="Arial" w:hAnsi="Arial" w:cs="Arial"/>
          <w:sz w:val="22"/>
          <w:szCs w:val="22"/>
          <w:lang w:val="en-US"/>
        </w:rPr>
        <w:t>. To overcome thes</w:t>
      </w:r>
      <w:r>
        <w:rPr>
          <w:rFonts w:ascii="Arial" w:hAnsi="Arial" w:cs="Arial"/>
          <w:sz w:val="22"/>
          <w:szCs w:val="22"/>
          <w:lang w:val="en-US"/>
        </w:rPr>
        <w:t xml:space="preserve">e obstacles </w:t>
      </w:r>
      <w:r w:rsidR="000D4D6A" w:rsidRPr="006C2587">
        <w:rPr>
          <w:rFonts w:ascii="Arial" w:hAnsi="Arial" w:cs="Arial"/>
          <w:sz w:val="22"/>
          <w:szCs w:val="22"/>
          <w:lang w:val="en-US"/>
        </w:rPr>
        <w:t>and enable robust operando characterization of electrode materials, full-field hyperspectral imaging in the Quick-XAS mode emerges as a promising approach</w:t>
      </w:r>
      <w:r w:rsidR="00693D94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="005D28B8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="000D4D6A" w:rsidRPr="006C2587">
        <w:rPr>
          <w:rFonts w:ascii="Arial" w:hAnsi="Arial" w:cs="Arial"/>
          <w:sz w:val="22"/>
          <w:szCs w:val="22"/>
          <w:lang w:val="en-US"/>
        </w:rPr>
        <w:t xml:space="preserve">. By combining a temporal resolution of a few hundred milliseconds with a spatial resolution of a few </w:t>
      </w:r>
      <w:proofErr w:type="spellStart"/>
      <w:r w:rsidR="006C2587" w:rsidRPr="006C2587">
        <w:rPr>
          <w:rFonts w:ascii="Arial" w:hAnsi="Arial" w:cs="Arial"/>
          <w:sz w:val="22"/>
          <w:szCs w:val="22"/>
          <w:lang w:val="en-US"/>
        </w:rPr>
        <w:t>micrometr</w:t>
      </w:r>
      <w:r w:rsidR="0058122B">
        <w:rPr>
          <w:rFonts w:ascii="Arial" w:hAnsi="Arial" w:cs="Arial"/>
          <w:sz w:val="22"/>
          <w:szCs w:val="22"/>
          <w:lang w:val="en-US"/>
        </w:rPr>
        <w:t>e</w:t>
      </w:r>
      <w:r w:rsidR="006C2587" w:rsidRPr="006C2587">
        <w:rPr>
          <w:rFonts w:ascii="Arial" w:hAnsi="Arial" w:cs="Arial"/>
          <w:sz w:val="22"/>
          <w:szCs w:val="22"/>
          <w:lang w:val="en-US"/>
        </w:rPr>
        <w:t>s</w:t>
      </w:r>
      <w:proofErr w:type="spellEnd"/>
      <w:r w:rsidR="000D4D6A" w:rsidRPr="006C2587">
        <w:rPr>
          <w:rFonts w:ascii="Arial" w:hAnsi="Arial" w:cs="Arial"/>
          <w:sz w:val="22"/>
          <w:szCs w:val="22"/>
          <w:lang w:val="en-US"/>
        </w:rPr>
        <w:t xml:space="preserve"> on the ROCK beamline, this technique provides unprecedented insight</w:t>
      </w:r>
      <w:r w:rsidR="0058122B">
        <w:rPr>
          <w:rFonts w:ascii="Arial" w:hAnsi="Arial" w:cs="Arial"/>
          <w:sz w:val="22"/>
          <w:szCs w:val="22"/>
          <w:lang w:val="en-US"/>
        </w:rPr>
        <w:t>s</w:t>
      </w:r>
      <w:r w:rsidR="000D4D6A" w:rsidRPr="006C2587">
        <w:rPr>
          <w:rFonts w:ascii="Arial" w:hAnsi="Arial" w:cs="Arial"/>
          <w:sz w:val="22"/>
          <w:szCs w:val="22"/>
          <w:lang w:val="en-US"/>
        </w:rPr>
        <w:t xml:space="preserve"> into the dynamic evolution of electrode materials. </w:t>
      </w:r>
      <w:r w:rsidRPr="007C5306">
        <w:rPr>
          <w:rFonts w:ascii="Arial" w:hAnsi="Arial" w:cs="Arial"/>
          <w:sz w:val="22"/>
          <w:szCs w:val="22"/>
          <w:lang w:val="en-US"/>
        </w:rPr>
        <w:t>By integrating chemometric analysis and dose-density mask analysis, we further demonstrate that beam-induced and cell-related artefacts can be mitigated, ensuring more reliable interpretations of operando XAS measurements</w:t>
      </w:r>
      <w:r w:rsidR="00A1745F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="005D28B8">
        <w:rPr>
          <w:rFonts w:ascii="Arial" w:hAnsi="Arial" w:cs="Arial"/>
          <w:sz w:val="22"/>
          <w:szCs w:val="22"/>
          <w:vertAlign w:val="superscript"/>
          <w:lang w:val="en-US"/>
        </w:rPr>
        <w:t>2</w:t>
      </w:r>
      <w:r w:rsidR="000D4D6A" w:rsidRPr="006C2587">
        <w:rPr>
          <w:rFonts w:ascii="Arial" w:hAnsi="Arial" w:cs="Arial"/>
          <w:sz w:val="22"/>
          <w:szCs w:val="22"/>
          <w:lang w:val="en-US"/>
        </w:rPr>
        <w:t>.</w:t>
      </w:r>
    </w:p>
    <w:p w14:paraId="3D5A97F9" w14:textId="45653567" w:rsidR="00067B7D" w:rsidRPr="00067B7D" w:rsidRDefault="00067B7D" w:rsidP="00662394">
      <w:pPr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067B7D">
        <w:rPr>
          <w:rFonts w:ascii="Arial" w:hAnsi="Arial" w:cs="Arial"/>
          <w:b/>
          <w:bCs/>
          <w:sz w:val="22"/>
          <w:szCs w:val="22"/>
          <w:lang w:val="en-US"/>
        </w:rPr>
        <w:t>REFERENCES</w:t>
      </w:r>
    </w:p>
    <w:p w14:paraId="7228F92E" w14:textId="77777777" w:rsidR="001F3B30" w:rsidRDefault="002778D4" w:rsidP="00662394">
      <w:pPr>
        <w:pStyle w:val="Paragraphedeliste"/>
        <w:spacing w:before="240" w:after="240" w:line="240" w:lineRule="auto"/>
        <w:ind w:left="0"/>
        <w:rPr>
          <w:rFonts w:ascii="Arial" w:hAnsi="Arial" w:cs="Arial"/>
          <w:sz w:val="14"/>
          <w:szCs w:val="14"/>
          <w:lang w:val="en-US"/>
        </w:rPr>
      </w:pPr>
      <w:r w:rsidRPr="00693D94">
        <w:rPr>
          <w:rFonts w:ascii="Arial" w:hAnsi="Arial" w:cs="Arial"/>
          <w:sz w:val="14"/>
          <w:szCs w:val="14"/>
          <w:lang w:val="en-US"/>
        </w:rPr>
        <w:t>1</w:t>
      </w:r>
      <w:r w:rsidR="00D7490C" w:rsidRPr="00693D94">
        <w:rPr>
          <w:rFonts w:ascii="Arial" w:hAnsi="Arial" w:cs="Arial"/>
          <w:sz w:val="14"/>
          <w:szCs w:val="14"/>
          <w:lang w:val="en-US"/>
        </w:rPr>
        <w:t>.</w:t>
      </w:r>
      <w:r w:rsidR="007967F9" w:rsidRPr="00693D94">
        <w:rPr>
          <w:rFonts w:ascii="Arial" w:hAnsi="Arial" w:cs="Arial"/>
          <w:sz w:val="14"/>
          <w:szCs w:val="14"/>
          <w:lang w:val="en-US"/>
        </w:rPr>
        <w:t xml:space="preserve"> Mc Breen</w:t>
      </w:r>
      <w:r w:rsidR="00D7490C" w:rsidRPr="00693D94">
        <w:rPr>
          <w:rFonts w:ascii="Arial" w:hAnsi="Arial" w:cs="Arial"/>
          <w:sz w:val="14"/>
          <w:szCs w:val="14"/>
          <w:lang w:val="en-US"/>
        </w:rPr>
        <w:t xml:space="preserve"> J.</w:t>
      </w:r>
      <w:r w:rsidR="007967F9" w:rsidRPr="00693D94">
        <w:rPr>
          <w:rFonts w:ascii="Arial" w:hAnsi="Arial" w:cs="Arial"/>
          <w:sz w:val="14"/>
          <w:szCs w:val="14"/>
          <w:lang w:val="en-US"/>
        </w:rPr>
        <w:t xml:space="preserve"> et al. </w:t>
      </w:r>
      <w:r w:rsidR="007967F9" w:rsidRPr="007967F9">
        <w:rPr>
          <w:rFonts w:ascii="Arial" w:hAnsi="Arial" w:cs="Arial"/>
          <w:sz w:val="14"/>
          <w:szCs w:val="14"/>
          <w:lang w:val="en-US"/>
        </w:rPr>
        <w:t xml:space="preserve">J. Power Sources, vol. 22, no. 3-4, pp. 323–340, </w:t>
      </w:r>
      <w:r w:rsidR="00D7490C">
        <w:rPr>
          <w:rFonts w:ascii="Arial" w:hAnsi="Arial" w:cs="Arial"/>
          <w:sz w:val="14"/>
          <w:szCs w:val="14"/>
          <w:lang w:val="en-US"/>
        </w:rPr>
        <w:t>(</w:t>
      </w:r>
      <w:r w:rsidR="007967F9" w:rsidRPr="007967F9">
        <w:rPr>
          <w:rFonts w:ascii="Arial" w:hAnsi="Arial" w:cs="Arial"/>
          <w:sz w:val="14"/>
          <w:szCs w:val="14"/>
          <w:lang w:val="en-US"/>
        </w:rPr>
        <w:t>1988</w:t>
      </w:r>
      <w:r w:rsidR="00D7490C">
        <w:rPr>
          <w:rFonts w:ascii="Arial" w:hAnsi="Arial" w:cs="Arial"/>
          <w:sz w:val="14"/>
          <w:szCs w:val="14"/>
          <w:lang w:val="en-US"/>
        </w:rPr>
        <w:t>)</w:t>
      </w:r>
    </w:p>
    <w:p w14:paraId="37BAC72C" w14:textId="305F777A" w:rsidR="001F3B30" w:rsidRPr="00A1745F" w:rsidRDefault="001F3B30" w:rsidP="00662394">
      <w:pPr>
        <w:pStyle w:val="Paragraphedeliste"/>
        <w:spacing w:before="240" w:after="240" w:line="240" w:lineRule="auto"/>
        <w:ind w:left="0"/>
        <w:rPr>
          <w:rFonts w:ascii="Arial" w:hAnsi="Arial" w:cs="Arial"/>
          <w:sz w:val="14"/>
          <w:szCs w:val="14"/>
        </w:rPr>
      </w:pPr>
      <w:r w:rsidRPr="00A1745F">
        <w:rPr>
          <w:rFonts w:ascii="Arial" w:hAnsi="Arial" w:cs="Arial"/>
          <w:sz w:val="14"/>
          <w:szCs w:val="14"/>
        </w:rPr>
        <w:t xml:space="preserve">2. </w:t>
      </w:r>
      <w:r w:rsidR="00A1745F" w:rsidRPr="00A1745F">
        <w:rPr>
          <w:rFonts w:ascii="Arial" w:hAnsi="Arial" w:cs="Arial"/>
          <w:sz w:val="14"/>
          <w:szCs w:val="14"/>
        </w:rPr>
        <w:t>Deb et al., J. Syn</w:t>
      </w:r>
      <w:r w:rsidR="00A1745F">
        <w:rPr>
          <w:rFonts w:ascii="Arial" w:hAnsi="Arial" w:cs="Arial"/>
          <w:sz w:val="14"/>
          <w:szCs w:val="14"/>
        </w:rPr>
        <w:t>chrotron Radiation (2004)</w:t>
      </w:r>
    </w:p>
    <w:p w14:paraId="79954595" w14:textId="2404CCE6" w:rsidR="00A673DC" w:rsidRDefault="001F3B30" w:rsidP="00662394">
      <w:pPr>
        <w:pStyle w:val="Paragraphedeliste"/>
        <w:spacing w:before="240" w:after="240" w:line="240" w:lineRule="auto"/>
        <w:ind w:left="0"/>
        <w:rPr>
          <w:rFonts w:ascii="Arial" w:hAnsi="Arial" w:cs="Arial"/>
          <w:sz w:val="14"/>
          <w:szCs w:val="14"/>
        </w:rPr>
      </w:pPr>
      <w:r w:rsidRPr="00693D94">
        <w:rPr>
          <w:rFonts w:ascii="Arial" w:hAnsi="Arial" w:cs="Arial"/>
          <w:sz w:val="14"/>
          <w:szCs w:val="14"/>
          <w:lang w:val="en-US"/>
        </w:rPr>
        <w:t>3.</w:t>
      </w:r>
      <w:r w:rsidR="00A1745F" w:rsidRPr="00693D94">
        <w:rPr>
          <w:rFonts w:ascii="Arial" w:hAnsi="Arial" w:cs="Arial"/>
          <w:sz w:val="14"/>
          <w:szCs w:val="14"/>
          <w:lang w:val="en-US"/>
        </w:rPr>
        <w:t xml:space="preserve"> Haas O. et al. </w:t>
      </w:r>
      <w:r w:rsidR="00A1745F" w:rsidRPr="00A1745F">
        <w:rPr>
          <w:rFonts w:ascii="Arial" w:hAnsi="Arial" w:cs="Arial"/>
          <w:sz w:val="14"/>
          <w:szCs w:val="14"/>
          <w:lang w:val="en-US"/>
        </w:rPr>
        <w:t xml:space="preserve">J. </w:t>
      </w:r>
      <w:r w:rsidR="00A1745F">
        <w:rPr>
          <w:rFonts w:ascii="Arial" w:hAnsi="Arial" w:cs="Arial"/>
          <w:sz w:val="14"/>
          <w:szCs w:val="14"/>
          <w:lang w:val="en-US"/>
        </w:rPr>
        <w:t>o</w:t>
      </w:r>
      <w:r w:rsidR="00A1745F" w:rsidRPr="00A1745F">
        <w:rPr>
          <w:rFonts w:ascii="Arial" w:hAnsi="Arial" w:cs="Arial"/>
          <w:sz w:val="14"/>
          <w:szCs w:val="14"/>
          <w:lang w:val="en-US"/>
        </w:rPr>
        <w:t>f The Electrochemical S</w:t>
      </w:r>
      <w:r w:rsidR="00A1745F">
        <w:rPr>
          <w:rFonts w:ascii="Arial" w:hAnsi="Arial" w:cs="Arial"/>
          <w:sz w:val="14"/>
          <w:szCs w:val="14"/>
          <w:lang w:val="en-US"/>
        </w:rPr>
        <w:t>ociety 152 A316-A322 (2005).</w:t>
      </w:r>
      <w:r w:rsidR="006C2587" w:rsidRPr="00A1745F">
        <w:rPr>
          <w:rFonts w:ascii="Arial" w:hAnsi="Arial" w:cs="Arial"/>
          <w:sz w:val="14"/>
          <w:szCs w:val="14"/>
          <w:lang w:val="en-US"/>
        </w:rPr>
        <w:br/>
      </w:r>
      <w:r w:rsidRPr="00693D94">
        <w:rPr>
          <w:rFonts w:ascii="Arial" w:hAnsi="Arial" w:cs="Arial"/>
          <w:sz w:val="14"/>
          <w:szCs w:val="14"/>
        </w:rPr>
        <w:t>4</w:t>
      </w:r>
      <w:r w:rsidR="006C2587" w:rsidRPr="00693D94">
        <w:rPr>
          <w:rFonts w:ascii="Arial" w:hAnsi="Arial" w:cs="Arial"/>
          <w:sz w:val="14"/>
          <w:szCs w:val="14"/>
        </w:rPr>
        <w:t>.</w:t>
      </w:r>
      <w:r w:rsidR="00D7490C" w:rsidRPr="00693D94">
        <w:rPr>
          <w:rFonts w:ascii="Arial" w:hAnsi="Arial" w:cs="Arial"/>
          <w:sz w:val="14"/>
          <w:szCs w:val="14"/>
        </w:rPr>
        <w:t xml:space="preserve"> </w:t>
      </w:r>
      <w:r w:rsidR="00A673DC" w:rsidRPr="00D7490C">
        <w:rPr>
          <w:rFonts w:ascii="Arial" w:hAnsi="Arial" w:cs="Arial"/>
          <w:sz w:val="14"/>
          <w:szCs w:val="14"/>
        </w:rPr>
        <w:t xml:space="preserve">Nakai I. et al. </w:t>
      </w:r>
      <w:proofErr w:type="spellStart"/>
      <w:r w:rsidR="00A673DC" w:rsidRPr="00A673DC">
        <w:rPr>
          <w:rFonts w:ascii="Arial" w:hAnsi="Arial" w:cs="Arial"/>
          <w:sz w:val="14"/>
          <w:szCs w:val="14"/>
        </w:rPr>
        <w:t>Spectrochimica</w:t>
      </w:r>
      <w:proofErr w:type="spellEnd"/>
      <w:r w:rsidR="00A673DC" w:rsidRPr="00A673DC">
        <w:rPr>
          <w:rFonts w:ascii="Arial" w:hAnsi="Arial" w:cs="Arial"/>
          <w:sz w:val="14"/>
          <w:szCs w:val="14"/>
        </w:rPr>
        <w:t xml:space="preserve"> Acta Part B. 54</w:t>
      </w:r>
      <w:r w:rsidR="00D7490C">
        <w:rPr>
          <w:rFonts w:ascii="Arial" w:hAnsi="Arial" w:cs="Arial"/>
          <w:sz w:val="14"/>
          <w:szCs w:val="14"/>
        </w:rPr>
        <w:t xml:space="preserve">, </w:t>
      </w:r>
      <w:r w:rsidR="00B1201B">
        <w:rPr>
          <w:rFonts w:ascii="Arial" w:hAnsi="Arial" w:cs="Arial"/>
          <w:sz w:val="14"/>
          <w:szCs w:val="14"/>
        </w:rPr>
        <w:t xml:space="preserve">pp </w:t>
      </w:r>
      <w:r w:rsidR="00A673DC" w:rsidRPr="00A673DC">
        <w:rPr>
          <w:rFonts w:ascii="Arial" w:hAnsi="Arial" w:cs="Arial"/>
          <w:sz w:val="14"/>
          <w:szCs w:val="14"/>
        </w:rPr>
        <w:t xml:space="preserve">143-149, </w:t>
      </w:r>
      <w:r w:rsidR="00D7490C">
        <w:rPr>
          <w:rFonts w:ascii="Arial" w:hAnsi="Arial" w:cs="Arial"/>
          <w:sz w:val="14"/>
          <w:szCs w:val="14"/>
        </w:rPr>
        <w:t>(</w:t>
      </w:r>
      <w:r w:rsidR="00A673DC" w:rsidRPr="00A673DC">
        <w:rPr>
          <w:rFonts w:ascii="Arial" w:hAnsi="Arial" w:cs="Arial"/>
          <w:sz w:val="14"/>
          <w:szCs w:val="14"/>
        </w:rPr>
        <w:t>1999</w:t>
      </w:r>
      <w:r w:rsidR="00D7490C">
        <w:rPr>
          <w:rFonts w:ascii="Arial" w:hAnsi="Arial" w:cs="Arial"/>
          <w:sz w:val="14"/>
          <w:szCs w:val="14"/>
        </w:rPr>
        <w:t>)</w:t>
      </w:r>
      <w:r w:rsidR="006C2587" w:rsidRPr="00A673DC">
        <w:rPr>
          <w:rFonts w:ascii="Arial" w:hAnsi="Arial" w:cs="Arial"/>
          <w:sz w:val="14"/>
          <w:szCs w:val="14"/>
        </w:rPr>
        <w:br/>
      </w:r>
      <w:r>
        <w:rPr>
          <w:rFonts w:ascii="Arial" w:hAnsi="Arial" w:cs="Arial"/>
          <w:sz w:val="14"/>
          <w:szCs w:val="14"/>
        </w:rPr>
        <w:t>5</w:t>
      </w:r>
      <w:r w:rsidR="006C2587" w:rsidRPr="00A673DC">
        <w:rPr>
          <w:rFonts w:ascii="Arial" w:hAnsi="Arial" w:cs="Arial"/>
          <w:sz w:val="14"/>
          <w:szCs w:val="14"/>
        </w:rPr>
        <w:t>.</w:t>
      </w:r>
      <w:r w:rsidR="00D7490C">
        <w:rPr>
          <w:rFonts w:ascii="Arial" w:hAnsi="Arial" w:cs="Arial"/>
          <w:sz w:val="14"/>
          <w:szCs w:val="14"/>
        </w:rPr>
        <w:t xml:space="preserve"> </w:t>
      </w:r>
      <w:r w:rsidR="00A673DC" w:rsidRPr="00A673DC">
        <w:rPr>
          <w:rFonts w:ascii="Arial" w:hAnsi="Arial" w:cs="Arial"/>
          <w:sz w:val="14"/>
          <w:szCs w:val="14"/>
        </w:rPr>
        <w:t xml:space="preserve">Kropt A. J. et al. </w:t>
      </w:r>
      <w:proofErr w:type="spellStart"/>
      <w:r w:rsidR="00A673DC" w:rsidRPr="00A673DC">
        <w:rPr>
          <w:rFonts w:ascii="Arial" w:hAnsi="Arial" w:cs="Arial"/>
          <w:sz w:val="14"/>
          <w:szCs w:val="14"/>
        </w:rPr>
        <w:t>E</w:t>
      </w:r>
      <w:r w:rsidR="00A673DC">
        <w:rPr>
          <w:rFonts w:ascii="Arial" w:hAnsi="Arial" w:cs="Arial"/>
          <w:sz w:val="14"/>
          <w:szCs w:val="14"/>
        </w:rPr>
        <w:t>lectrochemistry</w:t>
      </w:r>
      <w:proofErr w:type="spellEnd"/>
      <w:r w:rsidR="00A673DC">
        <w:rPr>
          <w:rFonts w:ascii="Arial" w:hAnsi="Arial" w:cs="Arial"/>
          <w:sz w:val="14"/>
          <w:szCs w:val="14"/>
        </w:rPr>
        <w:t xml:space="preserve"> Comm</w:t>
      </w:r>
      <w:r w:rsidR="00D7490C">
        <w:rPr>
          <w:rFonts w:ascii="Arial" w:hAnsi="Arial" w:cs="Arial"/>
          <w:sz w:val="14"/>
          <w:szCs w:val="14"/>
        </w:rPr>
        <w:t>unication</w:t>
      </w:r>
      <w:r w:rsidR="00A673DC">
        <w:rPr>
          <w:rFonts w:ascii="Arial" w:hAnsi="Arial" w:cs="Arial"/>
          <w:sz w:val="14"/>
          <w:szCs w:val="14"/>
        </w:rPr>
        <w:t xml:space="preserve"> 3, pp 244-251 (2001)</w:t>
      </w:r>
    </w:p>
    <w:p w14:paraId="1DC689C2" w14:textId="77777777" w:rsidR="00693D94" w:rsidRDefault="001F3B30" w:rsidP="00662394">
      <w:pPr>
        <w:pStyle w:val="Paragraphedeliste"/>
        <w:spacing w:before="240" w:after="240" w:line="240" w:lineRule="auto"/>
        <w:ind w:left="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6</w:t>
      </w:r>
      <w:r w:rsidR="00233479">
        <w:rPr>
          <w:rFonts w:ascii="Arial" w:hAnsi="Arial" w:cs="Arial"/>
          <w:sz w:val="14"/>
          <w:szCs w:val="14"/>
        </w:rPr>
        <w:t>.</w:t>
      </w:r>
      <w:r w:rsidR="0047534A">
        <w:rPr>
          <w:rFonts w:ascii="Arial" w:hAnsi="Arial" w:cs="Arial"/>
          <w:sz w:val="14"/>
          <w:szCs w:val="14"/>
        </w:rPr>
        <w:t xml:space="preserve"> </w:t>
      </w:r>
      <w:r w:rsidR="00233479">
        <w:rPr>
          <w:rFonts w:ascii="Arial" w:hAnsi="Arial" w:cs="Arial"/>
          <w:sz w:val="14"/>
          <w:szCs w:val="14"/>
        </w:rPr>
        <w:t xml:space="preserve">Koga H. et al. </w:t>
      </w:r>
      <w:r w:rsidR="00233479" w:rsidRPr="00693D94">
        <w:rPr>
          <w:rFonts w:ascii="Arial" w:hAnsi="Arial" w:cs="Arial"/>
          <w:sz w:val="14"/>
          <w:szCs w:val="14"/>
          <w:lang w:val="en-US"/>
        </w:rPr>
        <w:t xml:space="preserve">Journal of Physical </w:t>
      </w:r>
      <w:proofErr w:type="spellStart"/>
      <w:r w:rsidR="00233479" w:rsidRPr="00693D94">
        <w:rPr>
          <w:rFonts w:ascii="Arial" w:hAnsi="Arial" w:cs="Arial"/>
          <w:sz w:val="14"/>
          <w:szCs w:val="14"/>
          <w:lang w:val="en-US"/>
        </w:rPr>
        <w:t>Chemisrty</w:t>
      </w:r>
      <w:proofErr w:type="spellEnd"/>
      <w:r w:rsidR="00233479" w:rsidRPr="00693D94">
        <w:rPr>
          <w:rFonts w:ascii="Arial" w:hAnsi="Arial" w:cs="Arial"/>
          <w:sz w:val="14"/>
          <w:szCs w:val="14"/>
          <w:lang w:val="en-US"/>
        </w:rPr>
        <w:t xml:space="preserve"> C, 118, 5700-5709 (2014)</w:t>
      </w:r>
      <w:r w:rsidR="006C2587" w:rsidRPr="00693D94">
        <w:rPr>
          <w:rFonts w:ascii="Arial" w:hAnsi="Arial" w:cs="Arial"/>
          <w:sz w:val="14"/>
          <w:szCs w:val="14"/>
          <w:lang w:val="en-US"/>
        </w:rPr>
        <w:br/>
      </w:r>
      <w:r w:rsidRPr="00693D94">
        <w:rPr>
          <w:rFonts w:ascii="Arial" w:hAnsi="Arial" w:cs="Arial"/>
          <w:sz w:val="14"/>
          <w:szCs w:val="14"/>
          <w:lang w:val="en-US"/>
        </w:rPr>
        <w:t>7</w:t>
      </w:r>
      <w:r w:rsidR="00067B7D" w:rsidRPr="00693D94">
        <w:rPr>
          <w:rFonts w:ascii="Arial" w:hAnsi="Arial" w:cs="Arial"/>
          <w:sz w:val="14"/>
          <w:szCs w:val="14"/>
          <w:lang w:val="en-US"/>
        </w:rPr>
        <w:t xml:space="preserve">. </w:t>
      </w:r>
      <w:r w:rsidR="00067B7D" w:rsidRPr="00B1201B">
        <w:rPr>
          <w:rFonts w:ascii="Arial" w:hAnsi="Arial" w:cs="Arial"/>
          <w:sz w:val="14"/>
          <w:szCs w:val="14"/>
        </w:rPr>
        <w:t>Blondeau</w:t>
      </w:r>
      <w:r w:rsidR="00D7490C" w:rsidRPr="00B1201B">
        <w:rPr>
          <w:rFonts w:ascii="Arial" w:hAnsi="Arial" w:cs="Arial"/>
          <w:sz w:val="14"/>
          <w:szCs w:val="14"/>
        </w:rPr>
        <w:t xml:space="preserve"> L. </w:t>
      </w:r>
      <w:r w:rsidR="00067B7D" w:rsidRPr="00B1201B">
        <w:rPr>
          <w:rFonts w:ascii="Arial" w:hAnsi="Arial" w:cs="Arial"/>
          <w:sz w:val="14"/>
          <w:szCs w:val="14"/>
        </w:rPr>
        <w:t xml:space="preserve">et al. Anal. </w:t>
      </w:r>
      <w:r w:rsidR="00067B7D" w:rsidRPr="0058122B">
        <w:rPr>
          <w:rFonts w:ascii="Arial" w:hAnsi="Arial" w:cs="Arial"/>
          <w:sz w:val="14"/>
          <w:szCs w:val="14"/>
        </w:rPr>
        <w:t xml:space="preserve">Chem., 94, 9683-9689. </w:t>
      </w:r>
      <w:r w:rsidR="00067B7D" w:rsidRPr="00B1201B">
        <w:rPr>
          <w:rFonts w:ascii="Arial" w:hAnsi="Arial" w:cs="Arial"/>
          <w:sz w:val="14"/>
          <w:szCs w:val="14"/>
        </w:rPr>
        <w:t>(2022)</w:t>
      </w:r>
    </w:p>
    <w:p w14:paraId="1989A24F" w14:textId="4E45AAD3" w:rsidR="005D28B8" w:rsidRDefault="005D28B8" w:rsidP="00662394">
      <w:pPr>
        <w:pStyle w:val="Paragraphedeliste"/>
        <w:spacing w:before="240" w:after="240" w:line="240" w:lineRule="auto"/>
        <w:ind w:left="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8</w:t>
      </w:r>
      <w:r w:rsidRPr="005D28B8">
        <w:rPr>
          <w:rFonts w:ascii="Arial" w:hAnsi="Arial" w:cs="Arial"/>
          <w:sz w:val="14"/>
          <w:szCs w:val="14"/>
        </w:rPr>
        <w:t xml:space="preserve">. Jousseaume T. et al. ASC Energy Lett. </w:t>
      </w:r>
      <w:r>
        <w:rPr>
          <w:rFonts w:ascii="Arial" w:hAnsi="Arial" w:cs="Arial"/>
          <w:sz w:val="14"/>
          <w:szCs w:val="14"/>
        </w:rPr>
        <w:t>8, 3323-3329 (2023)</w:t>
      </w:r>
    </w:p>
    <w:p w14:paraId="1E861231" w14:textId="7522A223" w:rsidR="00067B7D" w:rsidRPr="005D28B8" w:rsidRDefault="005D28B8" w:rsidP="00662394">
      <w:pPr>
        <w:pStyle w:val="Paragraphedeliste"/>
        <w:spacing w:before="240" w:after="240" w:line="240" w:lineRule="auto"/>
        <w:ind w:left="0"/>
        <w:rPr>
          <w:rFonts w:ascii="Arial" w:hAnsi="Arial" w:cs="Arial"/>
          <w:sz w:val="14"/>
          <w:szCs w:val="14"/>
          <w:lang w:val="en-US"/>
        </w:rPr>
      </w:pPr>
      <w:r>
        <w:rPr>
          <w:rFonts w:ascii="Arial" w:hAnsi="Arial" w:cs="Arial"/>
          <w:sz w:val="14"/>
          <w:szCs w:val="14"/>
          <w:lang w:val="en-US"/>
        </w:rPr>
        <w:t>9</w:t>
      </w:r>
      <w:r w:rsidR="00BB796F">
        <w:rPr>
          <w:rFonts w:ascii="Arial" w:hAnsi="Arial" w:cs="Arial"/>
          <w:sz w:val="14"/>
          <w:szCs w:val="14"/>
          <w:lang w:val="en-US"/>
        </w:rPr>
        <w:t xml:space="preserve">. </w:t>
      </w:r>
      <w:r w:rsidR="00BB796F" w:rsidRPr="00BB796F">
        <w:rPr>
          <w:rFonts w:ascii="Arial" w:hAnsi="Arial" w:cs="Arial"/>
          <w:sz w:val="14"/>
          <w:szCs w:val="14"/>
          <w:lang w:val="en-US"/>
        </w:rPr>
        <w:t>Black A. P. et al Chem Mat</w:t>
      </w:r>
      <w:r w:rsidR="00BB796F">
        <w:rPr>
          <w:rFonts w:ascii="Arial" w:hAnsi="Arial" w:cs="Arial"/>
          <w:sz w:val="14"/>
          <w:szCs w:val="14"/>
          <w:lang w:val="en-US"/>
        </w:rPr>
        <w:t>er 36, 5596-5610 (2024)</w:t>
      </w:r>
      <w:r w:rsidR="00B1201B" w:rsidRPr="005D28B8">
        <w:rPr>
          <w:rFonts w:ascii="Arial" w:hAnsi="Arial" w:cs="Arial"/>
          <w:sz w:val="14"/>
          <w:szCs w:val="14"/>
          <w:lang w:val="en-US"/>
        </w:rPr>
        <w:br/>
      </w:r>
      <w:r w:rsidRPr="005D28B8">
        <w:rPr>
          <w:rFonts w:ascii="Arial" w:hAnsi="Arial" w:cs="Arial"/>
          <w:sz w:val="14"/>
          <w:szCs w:val="14"/>
          <w:lang w:val="en-US"/>
        </w:rPr>
        <w:t>10</w:t>
      </w:r>
      <w:r w:rsidR="00B1201B" w:rsidRPr="005D28B8">
        <w:rPr>
          <w:rFonts w:ascii="Arial" w:hAnsi="Arial" w:cs="Arial"/>
          <w:sz w:val="14"/>
          <w:szCs w:val="14"/>
          <w:lang w:val="en-US"/>
        </w:rPr>
        <w:t xml:space="preserve">. </w:t>
      </w:r>
      <w:r w:rsidR="00B1201B" w:rsidRPr="0047534A">
        <w:rPr>
          <w:rFonts w:ascii="Arial" w:hAnsi="Arial" w:cs="Arial"/>
          <w:sz w:val="14"/>
          <w:szCs w:val="14"/>
        </w:rPr>
        <w:t>Ouvrard, G. et al. Journal of Power Sources, 229, 16–21 (2013)</w:t>
      </w:r>
      <w:r w:rsidR="00B1201B" w:rsidRPr="0047534A">
        <w:rPr>
          <w:rFonts w:ascii="Arial" w:hAnsi="Arial" w:cs="Arial"/>
          <w:sz w:val="14"/>
          <w:szCs w:val="14"/>
        </w:rPr>
        <w:br/>
      </w:r>
      <w:r w:rsidR="00693D94">
        <w:rPr>
          <w:rFonts w:ascii="Arial" w:hAnsi="Arial" w:cs="Arial"/>
          <w:sz w:val="14"/>
          <w:szCs w:val="14"/>
        </w:rPr>
        <w:t>1</w:t>
      </w:r>
      <w:r>
        <w:rPr>
          <w:rFonts w:ascii="Arial" w:hAnsi="Arial" w:cs="Arial"/>
          <w:sz w:val="14"/>
          <w:szCs w:val="14"/>
        </w:rPr>
        <w:t>1</w:t>
      </w:r>
      <w:r w:rsidR="00B1201B" w:rsidRPr="0047534A">
        <w:rPr>
          <w:rFonts w:ascii="Arial" w:hAnsi="Arial" w:cs="Arial"/>
          <w:sz w:val="14"/>
          <w:szCs w:val="14"/>
        </w:rPr>
        <w:t xml:space="preserve">. </w:t>
      </w:r>
      <w:r w:rsidR="0047534A" w:rsidRPr="0047534A">
        <w:rPr>
          <w:rFonts w:ascii="Arial" w:hAnsi="Arial" w:cs="Arial"/>
          <w:sz w:val="14"/>
          <w:szCs w:val="14"/>
        </w:rPr>
        <w:t>Briois V. et</w:t>
      </w:r>
      <w:r w:rsidR="0047534A">
        <w:rPr>
          <w:rFonts w:ascii="Arial" w:hAnsi="Arial" w:cs="Arial"/>
          <w:sz w:val="14"/>
          <w:szCs w:val="14"/>
        </w:rPr>
        <w:t xml:space="preserve"> al. </w:t>
      </w:r>
      <w:r w:rsidR="0047534A" w:rsidRPr="0047534A">
        <w:rPr>
          <w:rFonts w:ascii="Arial" w:hAnsi="Arial" w:cs="Arial"/>
          <w:sz w:val="14"/>
          <w:szCs w:val="14"/>
        </w:rPr>
        <w:t>Journal of Synchrotron Radiation., 31(5</w:t>
      </w:r>
      <w:proofErr w:type="gramStart"/>
      <w:r w:rsidR="0047534A" w:rsidRPr="0047534A">
        <w:rPr>
          <w:rFonts w:ascii="Arial" w:hAnsi="Arial" w:cs="Arial"/>
          <w:sz w:val="14"/>
          <w:szCs w:val="14"/>
        </w:rPr>
        <w:t>):</w:t>
      </w:r>
      <w:proofErr w:type="gramEnd"/>
      <w:r w:rsidR="0047534A" w:rsidRPr="0047534A">
        <w:rPr>
          <w:rFonts w:ascii="Arial" w:hAnsi="Arial" w:cs="Arial"/>
          <w:sz w:val="14"/>
          <w:szCs w:val="14"/>
        </w:rPr>
        <w:t xml:space="preserve"> 1084-1104. (2024).</w:t>
      </w:r>
      <w:r w:rsidR="006C2587" w:rsidRPr="00B3441D">
        <w:rPr>
          <w:rFonts w:ascii="Arial" w:hAnsi="Arial" w:cs="Arial"/>
          <w:sz w:val="14"/>
          <w:szCs w:val="14"/>
        </w:rPr>
        <w:br/>
      </w:r>
      <w:r w:rsidR="001F3B30">
        <w:rPr>
          <w:rFonts w:ascii="Arial" w:hAnsi="Arial" w:cs="Arial"/>
          <w:sz w:val="14"/>
          <w:szCs w:val="14"/>
        </w:rPr>
        <w:t>1</w:t>
      </w:r>
      <w:r>
        <w:rPr>
          <w:rFonts w:ascii="Arial" w:hAnsi="Arial" w:cs="Arial"/>
          <w:sz w:val="14"/>
          <w:szCs w:val="14"/>
        </w:rPr>
        <w:t>2</w:t>
      </w:r>
      <w:r w:rsidR="006C2587" w:rsidRPr="00D7490C">
        <w:rPr>
          <w:rFonts w:ascii="Arial" w:hAnsi="Arial" w:cs="Arial"/>
          <w:sz w:val="14"/>
          <w:szCs w:val="14"/>
        </w:rPr>
        <w:t>.</w:t>
      </w:r>
      <w:r w:rsidR="00B3441D" w:rsidRPr="00D7490C">
        <w:rPr>
          <w:rFonts w:ascii="Arial" w:hAnsi="Arial" w:cs="Arial"/>
          <w:sz w:val="14"/>
          <w:szCs w:val="14"/>
        </w:rPr>
        <w:t xml:space="preserve"> </w:t>
      </w:r>
      <w:r w:rsidR="00B3441D" w:rsidRPr="00B3441D">
        <w:rPr>
          <w:rFonts w:ascii="Arial" w:hAnsi="Arial" w:cs="Arial"/>
          <w:sz w:val="14"/>
          <w:szCs w:val="14"/>
        </w:rPr>
        <w:t>La Porta</w:t>
      </w:r>
      <w:r w:rsidR="00D7490C">
        <w:rPr>
          <w:rFonts w:ascii="Arial" w:hAnsi="Arial" w:cs="Arial"/>
          <w:sz w:val="14"/>
          <w:szCs w:val="14"/>
        </w:rPr>
        <w:t xml:space="preserve"> F. </w:t>
      </w:r>
      <w:r w:rsidR="00B3441D">
        <w:rPr>
          <w:rFonts w:ascii="Arial" w:hAnsi="Arial" w:cs="Arial"/>
          <w:sz w:val="14"/>
          <w:szCs w:val="14"/>
        </w:rPr>
        <w:t xml:space="preserve">et al. </w:t>
      </w:r>
      <w:r w:rsidR="00B3441D" w:rsidRPr="00B3441D">
        <w:rPr>
          <w:rFonts w:ascii="Arial" w:hAnsi="Arial" w:cs="Arial"/>
          <w:sz w:val="14"/>
          <w:szCs w:val="14"/>
        </w:rPr>
        <w:t xml:space="preserve">ACS Publications. </w:t>
      </w:r>
      <w:r w:rsidR="00D7490C">
        <w:rPr>
          <w:rFonts w:ascii="Arial" w:hAnsi="Arial" w:cs="Arial"/>
          <w:sz w:val="14"/>
          <w:szCs w:val="14"/>
        </w:rPr>
        <w:t>(</w:t>
      </w:r>
      <w:r w:rsidR="00B3441D">
        <w:rPr>
          <w:rFonts w:ascii="Arial" w:hAnsi="Arial" w:cs="Arial"/>
          <w:sz w:val="14"/>
          <w:szCs w:val="14"/>
        </w:rPr>
        <w:t>2026</w:t>
      </w:r>
      <w:r w:rsidR="00D7490C">
        <w:rPr>
          <w:rFonts w:ascii="Arial" w:hAnsi="Arial" w:cs="Arial"/>
          <w:sz w:val="14"/>
          <w:szCs w:val="14"/>
        </w:rPr>
        <w:t>)</w:t>
      </w:r>
      <w:r w:rsidR="00B3441D">
        <w:rPr>
          <w:rFonts w:ascii="Arial" w:hAnsi="Arial" w:cs="Arial"/>
          <w:sz w:val="14"/>
          <w:szCs w:val="14"/>
        </w:rPr>
        <w:t xml:space="preserve">. </w:t>
      </w:r>
      <w:r w:rsidR="00B3441D" w:rsidRPr="00B3441D">
        <w:rPr>
          <w:rFonts w:ascii="Arial" w:hAnsi="Arial" w:cs="Arial"/>
          <w:sz w:val="14"/>
          <w:szCs w:val="14"/>
        </w:rPr>
        <w:t>Collection. https://doi.org/10.1021/photonsci.6c00020</w:t>
      </w:r>
    </w:p>
    <w:sectPr w:rsidR="00067B7D" w:rsidRPr="005D2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6B8"/>
    <w:multiLevelType w:val="hybridMultilevel"/>
    <w:tmpl w:val="C80C30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549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8F8"/>
    <w:rsid w:val="0001544F"/>
    <w:rsid w:val="00067B7D"/>
    <w:rsid w:val="000B4F04"/>
    <w:rsid w:val="000B588B"/>
    <w:rsid w:val="000D4D6A"/>
    <w:rsid w:val="001F3B30"/>
    <w:rsid w:val="00233479"/>
    <w:rsid w:val="00245028"/>
    <w:rsid w:val="002778D4"/>
    <w:rsid w:val="00280C59"/>
    <w:rsid w:val="002B2E71"/>
    <w:rsid w:val="003636EB"/>
    <w:rsid w:val="00382C50"/>
    <w:rsid w:val="00443718"/>
    <w:rsid w:val="004741A2"/>
    <w:rsid w:val="00474BCC"/>
    <w:rsid w:val="0047534A"/>
    <w:rsid w:val="004B26C4"/>
    <w:rsid w:val="005202D2"/>
    <w:rsid w:val="0058122B"/>
    <w:rsid w:val="005D28B8"/>
    <w:rsid w:val="00655ACD"/>
    <w:rsid w:val="00662394"/>
    <w:rsid w:val="00693D94"/>
    <w:rsid w:val="006C2587"/>
    <w:rsid w:val="007967F9"/>
    <w:rsid w:val="007C5306"/>
    <w:rsid w:val="00831286"/>
    <w:rsid w:val="00910DFB"/>
    <w:rsid w:val="00A1745F"/>
    <w:rsid w:val="00A673DC"/>
    <w:rsid w:val="00B1201B"/>
    <w:rsid w:val="00B171D9"/>
    <w:rsid w:val="00B3441D"/>
    <w:rsid w:val="00BB796F"/>
    <w:rsid w:val="00C83515"/>
    <w:rsid w:val="00D418B9"/>
    <w:rsid w:val="00D7490C"/>
    <w:rsid w:val="00E538F8"/>
    <w:rsid w:val="00FF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DE73E"/>
  <w15:chartTrackingRefBased/>
  <w15:docId w15:val="{6F87236B-F517-45D1-BE6C-04B3657AC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53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53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538F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538F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538F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38F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38F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38F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38F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53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53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538F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538F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538F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538F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538F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538F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538F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53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53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538F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538F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53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538F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538F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538F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53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538F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538F8"/>
    <w:rPr>
      <w:b/>
      <w:bCs/>
      <w:smallCaps/>
      <w:color w:val="0F4761" w:themeColor="accent1" w:themeShade="BF"/>
      <w:spacing w:val="5"/>
    </w:rPr>
  </w:style>
  <w:style w:type="paragraph" w:customStyle="1" w:styleId="Abstractauthors">
    <w:name w:val="Abstract_authors"/>
    <w:basedOn w:val="Normal"/>
    <w:rsid w:val="005202D2"/>
    <w:pPr>
      <w:spacing w:before="120" w:after="120" w:line="240" w:lineRule="auto"/>
    </w:pPr>
    <w:rPr>
      <w:rFonts w:eastAsia="Times New Roman"/>
      <w:kern w:val="0"/>
      <w:lang w:val="en-GB" w:eastAsia="en-GB"/>
      <w14:ligatures w14:val="none"/>
    </w:rPr>
  </w:style>
  <w:style w:type="paragraph" w:customStyle="1" w:styleId="Abstractcontact">
    <w:name w:val="Abstract_contact"/>
    <w:basedOn w:val="Normal"/>
    <w:rsid w:val="005202D2"/>
    <w:pPr>
      <w:spacing w:before="360" w:after="600" w:line="240" w:lineRule="auto"/>
    </w:pPr>
    <w:rPr>
      <w:rFonts w:eastAsia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494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 Stephanie</dc:creator>
  <cp:keywords/>
  <dc:description/>
  <cp:lastModifiedBy>BELIN Stephanie</cp:lastModifiedBy>
  <cp:revision>2</cp:revision>
  <dcterms:created xsi:type="dcterms:W3CDTF">2026-07-23T09:21:00Z</dcterms:created>
  <dcterms:modified xsi:type="dcterms:W3CDTF">2026-07-23T09:21:00Z</dcterms:modified>
</cp:coreProperties>
</file>