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66FE" w:rsidRPr="002E40F1" w:rsidRDefault="003F2F54" w:rsidP="009B7ACB">
      <w:pPr>
        <w:pStyle w:val="papertitle"/>
        <w:rPr>
          <w:rFonts w:ascii="Arial" w:hAnsi="Arial" w:cs="Arial"/>
          <w:lang w:val="en-GB"/>
        </w:rPr>
      </w:pPr>
      <w:r w:rsidRPr="003F2F54">
        <w:rPr>
          <w:rFonts w:ascii="Arial" w:hAnsi="Arial" w:cs="Arial"/>
          <w:lang w:val="en-US"/>
        </w:rPr>
        <w:t xml:space="preserve">HERFD-XAS </w:t>
      </w:r>
      <w:r w:rsidR="00982164">
        <w:rPr>
          <w:rFonts w:ascii="Arial" w:hAnsi="Arial" w:cs="Arial"/>
          <w:lang w:val="en-US"/>
        </w:rPr>
        <w:t xml:space="preserve">Reveals </w:t>
      </w:r>
      <w:r w:rsidR="00FE4D53">
        <w:rPr>
          <w:rFonts w:ascii="Arial" w:hAnsi="Arial" w:cs="Arial"/>
          <w:lang w:val="en-US"/>
        </w:rPr>
        <w:t>Trace Metal</w:t>
      </w:r>
      <w:r>
        <w:rPr>
          <w:rFonts w:ascii="Arial" w:hAnsi="Arial" w:cs="Arial"/>
          <w:lang w:val="en-US"/>
        </w:rPr>
        <w:t xml:space="preserve"> </w:t>
      </w:r>
      <w:r w:rsidR="00FE4D53">
        <w:rPr>
          <w:rFonts w:ascii="Arial" w:hAnsi="Arial" w:cs="Arial"/>
          <w:lang w:val="en-US"/>
        </w:rPr>
        <w:t>Incorporation</w:t>
      </w:r>
      <w:r w:rsidRPr="003F2F54">
        <w:rPr>
          <w:rFonts w:ascii="Arial" w:hAnsi="Arial" w:cs="Arial"/>
          <w:lang w:val="en-US"/>
        </w:rPr>
        <w:t xml:space="preserve"> </w:t>
      </w:r>
      <w:r w:rsidR="00D5212D">
        <w:rPr>
          <w:rFonts w:ascii="Arial" w:hAnsi="Arial" w:cs="Arial"/>
          <w:lang w:val="en-US"/>
        </w:rPr>
        <w:t>Mechanisms</w:t>
      </w:r>
      <w:r w:rsidR="00982164">
        <w:rPr>
          <w:rFonts w:ascii="Arial" w:hAnsi="Arial" w:cs="Arial"/>
          <w:lang w:val="en-US"/>
        </w:rPr>
        <w:t xml:space="preserve"> I</w:t>
      </w:r>
      <w:r w:rsidR="00FC3111">
        <w:rPr>
          <w:rFonts w:ascii="Arial" w:hAnsi="Arial" w:cs="Arial"/>
          <w:lang w:val="en-US"/>
        </w:rPr>
        <w:t>n</w:t>
      </w:r>
      <w:r>
        <w:rPr>
          <w:rFonts w:ascii="Arial" w:hAnsi="Arial" w:cs="Arial"/>
          <w:lang w:val="en-US"/>
        </w:rPr>
        <w:t xml:space="preserve"> </w:t>
      </w:r>
      <w:r w:rsidR="00D5212D">
        <w:rPr>
          <w:rFonts w:ascii="Arial" w:hAnsi="Arial" w:cs="Arial"/>
          <w:lang w:val="en-US"/>
        </w:rPr>
        <w:t xml:space="preserve">Environmental Iron </w:t>
      </w:r>
      <w:r w:rsidR="00B83806">
        <w:rPr>
          <w:rFonts w:ascii="Arial" w:hAnsi="Arial" w:cs="Arial"/>
          <w:lang w:val="en-US"/>
        </w:rPr>
        <w:t>S</w:t>
      </w:r>
      <w:r w:rsidR="00D5212D">
        <w:rPr>
          <w:rFonts w:ascii="Arial" w:hAnsi="Arial" w:cs="Arial"/>
          <w:lang w:val="en-US"/>
        </w:rPr>
        <w:t>ulfides</w:t>
      </w:r>
    </w:p>
    <w:p w:rsidR="005166FE" w:rsidRPr="00B83806" w:rsidRDefault="007075B2" w:rsidP="00C046C9">
      <w:pPr>
        <w:pStyle w:val="paperauthor"/>
        <w:rPr>
          <w:rFonts w:ascii="Arial" w:hAnsi="Arial" w:cs="Arial"/>
        </w:rPr>
      </w:pPr>
      <w:r w:rsidRPr="00B83806">
        <w:rPr>
          <w:rFonts w:ascii="Arial" w:hAnsi="Arial" w:cs="Arial"/>
        </w:rPr>
        <w:t>Qianyu Deng</w:t>
      </w:r>
      <w:r w:rsidR="00FC3111" w:rsidRPr="00B83806">
        <w:rPr>
          <w:rFonts w:ascii="Arial" w:hAnsi="Arial" w:cs="Arial"/>
          <w:vertAlign w:val="superscript"/>
        </w:rPr>
        <w:t>1</w:t>
      </w:r>
      <w:r w:rsidRPr="00B83806">
        <w:rPr>
          <w:rFonts w:ascii="Arial" w:hAnsi="Arial" w:cs="Arial"/>
        </w:rPr>
        <w:t>, Pierre Le Pape</w:t>
      </w:r>
      <w:r w:rsidR="00FC3111" w:rsidRPr="00B83806">
        <w:rPr>
          <w:rFonts w:ascii="Arial" w:hAnsi="Arial" w:cs="Arial"/>
          <w:vertAlign w:val="superscript"/>
        </w:rPr>
        <w:t>1</w:t>
      </w:r>
      <w:r w:rsidRPr="00B83806">
        <w:rPr>
          <w:rFonts w:ascii="Arial" w:hAnsi="Arial" w:cs="Arial"/>
        </w:rPr>
        <w:t>, Julie Aufort</w:t>
      </w:r>
      <w:r w:rsidR="00FC3111" w:rsidRPr="00B83806">
        <w:rPr>
          <w:rFonts w:ascii="Arial" w:hAnsi="Arial" w:cs="Arial"/>
          <w:vertAlign w:val="superscript"/>
        </w:rPr>
        <w:t>1</w:t>
      </w:r>
      <w:r w:rsidRPr="00B83806">
        <w:rPr>
          <w:rFonts w:ascii="Arial" w:hAnsi="Arial" w:cs="Arial"/>
        </w:rPr>
        <w:t xml:space="preserve">, </w:t>
      </w:r>
      <w:r w:rsidR="00F250FC" w:rsidRPr="00B83806">
        <w:rPr>
          <w:rFonts w:ascii="Arial" w:hAnsi="Arial" w:cs="Arial"/>
        </w:rPr>
        <w:t>Marc Blanchard</w:t>
      </w:r>
      <w:r w:rsidR="00F250FC" w:rsidRPr="00B83806">
        <w:rPr>
          <w:rFonts w:ascii="Arial" w:hAnsi="Arial" w:cs="Arial"/>
          <w:vertAlign w:val="superscript"/>
        </w:rPr>
        <w:t>2</w:t>
      </w:r>
      <w:r w:rsidR="00F250FC" w:rsidRPr="00B83806">
        <w:rPr>
          <w:rFonts w:ascii="Arial" w:hAnsi="Arial" w:cs="Arial"/>
        </w:rPr>
        <w:t xml:space="preserve">, </w:t>
      </w:r>
      <w:r w:rsidR="00FC3111" w:rsidRPr="00B83806">
        <w:rPr>
          <w:rFonts w:ascii="Arial" w:hAnsi="Arial" w:cs="Arial"/>
        </w:rPr>
        <w:t>Delphine Cabaret</w:t>
      </w:r>
      <w:r w:rsidR="00FC3111" w:rsidRPr="00B83806">
        <w:rPr>
          <w:rFonts w:ascii="Arial" w:hAnsi="Arial" w:cs="Arial"/>
          <w:vertAlign w:val="superscript"/>
        </w:rPr>
        <w:t>1</w:t>
      </w:r>
      <w:r w:rsidR="00FC3111" w:rsidRPr="00B83806">
        <w:rPr>
          <w:rFonts w:ascii="Arial" w:hAnsi="Arial" w:cs="Arial"/>
        </w:rPr>
        <w:t xml:space="preserve">, </w:t>
      </w:r>
      <w:r w:rsidR="00274A2E" w:rsidRPr="00B83806">
        <w:rPr>
          <w:rFonts w:ascii="Arial" w:hAnsi="Arial" w:cs="Arial"/>
        </w:rPr>
        <w:t>Jessica Brest</w:t>
      </w:r>
      <w:r w:rsidR="00274A2E" w:rsidRPr="00B83806">
        <w:rPr>
          <w:rFonts w:ascii="Arial" w:hAnsi="Arial" w:cs="Arial"/>
          <w:vertAlign w:val="superscript"/>
        </w:rPr>
        <w:t>1</w:t>
      </w:r>
      <w:r w:rsidR="00274A2E" w:rsidRPr="00B83806">
        <w:rPr>
          <w:rFonts w:ascii="Arial" w:hAnsi="Arial" w:cs="Arial"/>
        </w:rPr>
        <w:t>,</w:t>
      </w:r>
      <w:r w:rsidR="00B83806">
        <w:rPr>
          <w:rFonts w:ascii="Arial" w:hAnsi="Arial" w:cs="Arial"/>
        </w:rPr>
        <w:t xml:space="preserve"> </w:t>
      </w:r>
      <w:r w:rsidR="00F250FC" w:rsidRPr="00B83806">
        <w:rPr>
          <w:rFonts w:ascii="Arial" w:hAnsi="Arial" w:cs="Arial"/>
        </w:rPr>
        <w:t>Farid Juillot</w:t>
      </w:r>
      <w:r w:rsidR="00F250FC" w:rsidRPr="00B83806">
        <w:rPr>
          <w:rFonts w:ascii="Arial" w:hAnsi="Arial" w:cs="Arial"/>
          <w:vertAlign w:val="superscript"/>
        </w:rPr>
        <w:t>1</w:t>
      </w:r>
      <w:r w:rsidR="00F250FC" w:rsidRPr="00B83806">
        <w:rPr>
          <w:rFonts w:ascii="Arial" w:hAnsi="Arial" w:cs="Arial"/>
        </w:rPr>
        <w:t xml:space="preserve">, </w:t>
      </w:r>
      <w:r w:rsidRPr="00B83806">
        <w:rPr>
          <w:rFonts w:ascii="Arial" w:hAnsi="Arial" w:cs="Arial"/>
        </w:rPr>
        <w:t>François Guyot</w:t>
      </w:r>
      <w:r w:rsidR="00FC3111" w:rsidRPr="00B83806">
        <w:rPr>
          <w:rFonts w:ascii="Arial" w:hAnsi="Arial" w:cs="Arial"/>
          <w:vertAlign w:val="superscript"/>
        </w:rPr>
        <w:t>1</w:t>
      </w:r>
      <w:r w:rsidRPr="00B83806">
        <w:rPr>
          <w:rFonts w:ascii="Arial" w:hAnsi="Arial" w:cs="Arial"/>
        </w:rPr>
        <w:t>, Myriam Boudieb</w:t>
      </w:r>
      <w:r w:rsidR="00FC3111" w:rsidRPr="00B83806">
        <w:rPr>
          <w:rFonts w:ascii="Arial" w:hAnsi="Arial" w:cs="Arial"/>
          <w:vertAlign w:val="superscript"/>
        </w:rPr>
        <w:t>1</w:t>
      </w:r>
      <w:r w:rsidRPr="00B83806">
        <w:rPr>
          <w:rFonts w:ascii="Arial" w:hAnsi="Arial" w:cs="Arial"/>
        </w:rPr>
        <w:t>, Camille Baya</w:t>
      </w:r>
      <w:r w:rsidR="00274A2E" w:rsidRPr="00B83806">
        <w:rPr>
          <w:rFonts w:ascii="Arial" w:hAnsi="Arial" w:cs="Arial"/>
          <w:vertAlign w:val="superscript"/>
        </w:rPr>
        <w:t>1</w:t>
      </w:r>
      <w:r w:rsidRPr="00B83806">
        <w:rPr>
          <w:rFonts w:ascii="Arial" w:hAnsi="Arial" w:cs="Arial"/>
        </w:rPr>
        <w:t>, Olivier Proux</w:t>
      </w:r>
      <w:r w:rsidR="00274A2E" w:rsidRPr="00B83806">
        <w:rPr>
          <w:rFonts w:ascii="Arial" w:hAnsi="Arial" w:cs="Arial"/>
          <w:vertAlign w:val="superscript"/>
        </w:rPr>
        <w:t>3</w:t>
      </w:r>
      <w:r w:rsidRPr="00B83806">
        <w:rPr>
          <w:rFonts w:ascii="Arial" w:hAnsi="Arial" w:cs="Arial"/>
        </w:rPr>
        <w:t xml:space="preserve">, </w:t>
      </w:r>
      <w:r w:rsidR="00F250FC" w:rsidRPr="00B83806">
        <w:rPr>
          <w:rFonts w:ascii="Arial" w:hAnsi="Arial" w:cs="Arial"/>
        </w:rPr>
        <w:t>Hester Blommaert</w:t>
      </w:r>
      <w:r w:rsidR="00F250FC" w:rsidRPr="00B83806">
        <w:rPr>
          <w:rFonts w:ascii="Arial" w:hAnsi="Arial" w:cs="Arial"/>
          <w:vertAlign w:val="superscript"/>
        </w:rPr>
        <w:t>3</w:t>
      </w:r>
      <w:r w:rsidR="00F250FC" w:rsidRPr="00B83806">
        <w:rPr>
          <w:rFonts w:ascii="Arial" w:hAnsi="Arial" w:cs="Arial"/>
        </w:rPr>
        <w:t xml:space="preserve">, </w:t>
      </w:r>
      <w:r w:rsidRPr="00B83806">
        <w:rPr>
          <w:rFonts w:ascii="Arial" w:hAnsi="Arial" w:cs="Arial"/>
        </w:rPr>
        <w:t>Guillaume Morin</w:t>
      </w:r>
      <w:r w:rsidR="00274A2E" w:rsidRPr="00B83806">
        <w:rPr>
          <w:rFonts w:ascii="Arial" w:hAnsi="Arial" w:cs="Arial"/>
          <w:vertAlign w:val="superscript"/>
        </w:rPr>
        <w:t>1</w:t>
      </w:r>
    </w:p>
    <w:p w:rsidR="007075B2" w:rsidRPr="009D727D" w:rsidRDefault="007075B2" w:rsidP="007075B2">
      <w:pPr>
        <w:pStyle w:val="authoraffiliation"/>
        <w:rPr>
          <w:rFonts w:ascii="Arial" w:hAnsi="Arial" w:cs="Arial"/>
        </w:rPr>
      </w:pPr>
      <w:r w:rsidRPr="009D727D">
        <w:rPr>
          <w:rFonts w:ascii="Arial" w:hAnsi="Arial" w:cs="Arial"/>
        </w:rPr>
        <w:t>1 Institut de Minéralogie, de Physique des Matériaux et de Cosmochimie (IMPMC), Sorbonne Université, CNRS, MNHN, IRD, 4 place Jussieu, 75005 Paris, France</w:t>
      </w:r>
    </w:p>
    <w:p w:rsidR="007075B2" w:rsidRPr="009D727D" w:rsidRDefault="007075B2" w:rsidP="007075B2">
      <w:pPr>
        <w:pStyle w:val="authoraffiliation"/>
        <w:rPr>
          <w:rFonts w:ascii="Arial" w:hAnsi="Arial" w:cs="Arial"/>
        </w:rPr>
      </w:pPr>
      <w:r w:rsidRPr="009D727D">
        <w:rPr>
          <w:rFonts w:ascii="Arial" w:hAnsi="Arial" w:cs="Arial"/>
        </w:rPr>
        <w:t xml:space="preserve">2 </w:t>
      </w:r>
      <w:proofErr w:type="spellStart"/>
      <w:r w:rsidRPr="009D727D">
        <w:rPr>
          <w:rFonts w:ascii="Arial" w:hAnsi="Arial" w:cs="Arial"/>
        </w:rPr>
        <w:t>Geosciences</w:t>
      </w:r>
      <w:proofErr w:type="spellEnd"/>
      <w:r w:rsidRPr="009D727D">
        <w:rPr>
          <w:rFonts w:ascii="Arial" w:hAnsi="Arial" w:cs="Arial"/>
        </w:rPr>
        <w:t xml:space="preserve"> Environnement Toulouse (GET), </w:t>
      </w:r>
      <w:proofErr w:type="spellStart"/>
      <w:r w:rsidRPr="009D727D">
        <w:rPr>
          <w:rFonts w:ascii="Arial" w:hAnsi="Arial" w:cs="Arial"/>
        </w:rPr>
        <w:t>Universite</w:t>
      </w:r>
      <w:proofErr w:type="spellEnd"/>
      <w:r w:rsidRPr="009D727D">
        <w:rPr>
          <w:rFonts w:ascii="Arial" w:hAnsi="Arial" w:cs="Arial"/>
        </w:rPr>
        <w:t xml:space="preserve">́ de Toulouse, CNRS, IRD, UPS, CNES, Observatoire Midi-Pyrénées (OMP), 14 avenue </w:t>
      </w:r>
      <w:proofErr w:type="spellStart"/>
      <w:r w:rsidRPr="009D727D">
        <w:rPr>
          <w:rFonts w:ascii="Arial" w:hAnsi="Arial" w:cs="Arial"/>
        </w:rPr>
        <w:t>Édouard</w:t>
      </w:r>
      <w:proofErr w:type="spellEnd"/>
      <w:r w:rsidRPr="009D727D">
        <w:rPr>
          <w:rFonts w:ascii="Arial" w:hAnsi="Arial" w:cs="Arial"/>
        </w:rPr>
        <w:t xml:space="preserve"> Belin, 31400 Toulouse, France</w:t>
      </w:r>
    </w:p>
    <w:p w:rsidR="005166FE" w:rsidRPr="009D727D" w:rsidRDefault="007075B2" w:rsidP="009B7ACB">
      <w:pPr>
        <w:pStyle w:val="authoraffiliation"/>
        <w:rPr>
          <w:rFonts w:ascii="Arial" w:hAnsi="Arial" w:cs="Arial"/>
          <w:lang w:val="en-GB"/>
        </w:rPr>
      </w:pPr>
      <w:r w:rsidRPr="009D727D">
        <w:rPr>
          <w:rFonts w:ascii="Arial" w:hAnsi="Arial" w:cs="Arial"/>
          <w:lang w:val="en-US"/>
        </w:rPr>
        <w:t xml:space="preserve">3 Université Grenoble Alpes, CNRS, IRD, INRAE, </w:t>
      </w:r>
      <w:proofErr w:type="spellStart"/>
      <w:r w:rsidRPr="009D727D">
        <w:rPr>
          <w:rFonts w:ascii="Arial" w:hAnsi="Arial" w:cs="Arial"/>
          <w:lang w:val="en-US"/>
        </w:rPr>
        <w:t>Météo</w:t>
      </w:r>
      <w:proofErr w:type="spellEnd"/>
      <w:r w:rsidRPr="009D727D">
        <w:rPr>
          <w:rFonts w:ascii="Arial" w:hAnsi="Arial" w:cs="Arial"/>
          <w:lang w:val="en-US"/>
        </w:rPr>
        <w:t xml:space="preserve"> France, OSUG, UAR 832 CNRS, 38000</w:t>
      </w:r>
      <w:r w:rsidR="00FC3111" w:rsidRPr="009D727D">
        <w:rPr>
          <w:rFonts w:ascii="Arial" w:hAnsi="Arial" w:cs="Arial"/>
          <w:lang w:val="en-US"/>
        </w:rPr>
        <w:t xml:space="preserve"> </w:t>
      </w:r>
      <w:r w:rsidRPr="009D727D">
        <w:rPr>
          <w:rFonts w:ascii="Arial" w:hAnsi="Arial" w:cs="Arial"/>
          <w:lang w:val="en-US"/>
        </w:rPr>
        <w:t>Grenoble, France</w:t>
      </w:r>
    </w:p>
    <w:p w:rsidR="005166FE" w:rsidRPr="002E40F1" w:rsidRDefault="005166FE" w:rsidP="009B7ACB">
      <w:pPr>
        <w:pStyle w:val="Heading1"/>
        <w:rPr>
          <w:rFonts w:ascii="Arial" w:hAnsi="Arial" w:cs="Arial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ABSTRACT</w:t>
      </w:r>
    </w:p>
    <w:p w:rsidR="00EB0414" w:rsidRDefault="00371E7A" w:rsidP="003A7276">
      <w:pPr>
        <w:autoSpaceDE w:val="0"/>
        <w:autoSpaceDN w:val="0"/>
        <w:adjustRightInd w:val="0"/>
        <w:ind w:firstLine="284"/>
        <w:jc w:val="both"/>
        <w:rPr>
          <w:lang w:val="en-GB"/>
        </w:rPr>
      </w:pPr>
      <w:r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High-Energy Resolution Fluorescence </w:t>
      </w:r>
      <w:r w:rsidR="00D5212D"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>Detect</w:t>
      </w:r>
      <w:r w:rsidR="00D5212D">
        <w:rPr>
          <w:rFonts w:ascii="Arial" w:hAnsi="Arial" w:cs="Arial"/>
          <w:color w:val="000000"/>
          <w:sz w:val="22"/>
          <w:szCs w:val="22"/>
          <w:lang w:val="en-US" w:eastAsia="en-US"/>
        </w:rPr>
        <w:t>ed X-ray absorption spectroscopy</w:t>
      </w:r>
      <w:r w:rsidR="00D5212D"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>(HERFD-XAS</w:t>
      </w:r>
      <w:r w:rsidR="00D5212D">
        <w:rPr>
          <w:rFonts w:ascii="Arial" w:hAnsi="Arial" w:cs="Arial"/>
          <w:color w:val="000000"/>
          <w:sz w:val="22"/>
          <w:szCs w:val="22"/>
          <w:lang w:val="en-US" w:eastAsia="en-US"/>
        </w:rPr>
        <w:t>)</w:t>
      </w:r>
      <w:r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has recently emerged as a significant tool for examining local atomic </w:t>
      </w:r>
      <w:r w:rsidR="00D5212D">
        <w:rPr>
          <w:rFonts w:ascii="Arial" w:hAnsi="Arial" w:cs="Arial"/>
          <w:color w:val="000000"/>
          <w:sz w:val="22"/>
          <w:szCs w:val="22"/>
          <w:lang w:val="en-US" w:eastAsia="en-US"/>
        </w:rPr>
        <w:t>structure and redox state of trace elements</w:t>
      </w:r>
      <w:r w:rsidR="00D5212D"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 w:rsidR="00FE5129"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in </w:t>
      </w:r>
      <w:r w:rsidR="009D426F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complex </w:t>
      </w:r>
      <w:r w:rsidR="00902E6C" w:rsidRPr="001E59E4">
        <w:rPr>
          <w:rFonts w:ascii="Arial" w:hAnsi="Arial" w:cs="Arial"/>
          <w:sz w:val="22"/>
          <w:szCs w:val="22"/>
          <w:lang w:val="en-US" w:eastAsia="en-US"/>
        </w:rPr>
        <w:t>environment</w:t>
      </w:r>
      <w:r w:rsidR="00D5212D">
        <w:rPr>
          <w:rFonts w:ascii="Arial" w:hAnsi="Arial" w:cs="Arial"/>
          <w:sz w:val="22"/>
          <w:szCs w:val="22"/>
          <w:lang w:val="en-US" w:eastAsia="en-US"/>
        </w:rPr>
        <w:t>al matrices</w:t>
      </w:r>
      <w:r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>. It filters emitted fluorescence through a narrow energy bandwidth, producing high-resolution spectra free of parasitic emissions from other elements</w:t>
      </w:r>
      <w:r w:rsidR="00902E6C"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in the material</w:t>
      </w:r>
      <w:r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[</w:t>
      </w:r>
      <w:r w:rsidR="00B82523" w:rsidRPr="003A7276">
        <w:rPr>
          <w:rFonts w:ascii="Arial" w:hAnsi="Arial" w:cs="Arial"/>
          <w:color w:val="000000"/>
          <w:sz w:val="22"/>
          <w:szCs w:val="22"/>
          <w:lang w:val="en-US" w:eastAsia="en-US"/>
        </w:rPr>
        <w:t>1,2</w:t>
      </w:r>
      <w:r w:rsidRPr="001E59E4">
        <w:rPr>
          <w:rFonts w:ascii="Arial" w:hAnsi="Arial" w:cs="Arial"/>
          <w:color w:val="000000"/>
          <w:sz w:val="22"/>
          <w:szCs w:val="22"/>
          <w:lang w:val="en-US" w:eastAsia="en-US"/>
        </w:rPr>
        <w:t>].</w:t>
      </w:r>
      <w:r w:rsidR="00D5212D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 w:rsidR="003A7276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A notable example is the challenge of acquiring conventional XAS data on cobalt traces in iron-rich samples </w:t>
      </w:r>
      <w:r w:rsidR="00214F33">
        <w:rPr>
          <w:rFonts w:ascii="Arial" w:hAnsi="Arial" w:cs="Arial"/>
          <w:color w:val="000000"/>
          <w:sz w:val="22"/>
          <w:szCs w:val="22"/>
          <w:lang w:val="en-US" w:eastAsia="en-US"/>
        </w:rPr>
        <w:t>du</w:t>
      </w:r>
      <w:r w:rsidR="003A7276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e </w:t>
      </w:r>
      <w:r w:rsidR="00214F33">
        <w:rPr>
          <w:rFonts w:ascii="Arial" w:hAnsi="Arial" w:cs="Arial"/>
          <w:color w:val="000000"/>
          <w:sz w:val="22"/>
          <w:szCs w:val="22"/>
          <w:lang w:val="en-US" w:eastAsia="en-US"/>
        </w:rPr>
        <w:t>to</w:t>
      </w:r>
      <w:r w:rsidR="003A7276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overlapping Co Kα lines and Fe Kβ emission lines [3], which </w:t>
      </w:r>
      <w:r w:rsidR="00214F33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a </w:t>
      </w:r>
      <w:r w:rsidR="003A7276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HERFD setup effectively addresses. </w:t>
      </w:r>
      <w:r w:rsidR="00214F33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High-resolution </w:t>
      </w:r>
      <w:r w:rsidR="00F95ACD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XANES spectra provide direct information on redox and coordination states with sensitivity unattainable by conventional fluorescence detection. Compared with model compounds and ab initio calculations, pre-edge HERFD spectra distinguish tetrahedral from octahedral coordination in complex materials. Modern XAS beamlines </w:t>
      </w:r>
      <w:r w:rsidR="00214F33">
        <w:rPr>
          <w:rFonts w:ascii="Arial" w:hAnsi="Arial" w:cs="Arial"/>
          <w:color w:val="000000"/>
          <w:sz w:val="22"/>
          <w:szCs w:val="22"/>
          <w:lang w:val="en-US" w:eastAsia="en-US"/>
        </w:rPr>
        <w:t>such as</w:t>
      </w:r>
      <w:r w:rsidR="00F95ACD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FAME-UHD now </w:t>
      </w:r>
      <w:r w:rsidR="00214F33">
        <w:rPr>
          <w:rFonts w:ascii="Arial" w:hAnsi="Arial" w:cs="Arial"/>
          <w:color w:val="000000"/>
          <w:sz w:val="22"/>
          <w:szCs w:val="22"/>
          <w:lang w:val="en-US" w:eastAsia="en-US"/>
        </w:rPr>
        <w:t>enable</w:t>
      </w:r>
      <w:r w:rsidR="00F95ACD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simultaneous EXAFS data collection </w:t>
      </w:r>
      <w:r w:rsidR="00214F33">
        <w:rPr>
          <w:rFonts w:ascii="Arial" w:hAnsi="Arial" w:cs="Arial"/>
          <w:color w:val="000000"/>
          <w:sz w:val="22"/>
          <w:szCs w:val="22"/>
          <w:lang w:val="en-US" w:eastAsia="en-US"/>
        </w:rPr>
        <w:t>using</w:t>
      </w:r>
      <w:r w:rsidR="00F95ACD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the same HERFD setup. </w:t>
      </w:r>
      <w:r w:rsidR="00D503AA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Complemented by ab initio EXAFS calculations on DFT models, EXAFS spectroscopy provides valuable supplementary information on local structures that cannot always be resolved from XANES data. </w:t>
      </w:r>
      <w:r w:rsidR="003A7276">
        <w:rPr>
          <w:rFonts w:ascii="Arial" w:hAnsi="Arial" w:cs="Arial"/>
          <w:sz w:val="22"/>
          <w:szCs w:val="22"/>
          <w:lang w:val="en-US"/>
        </w:rPr>
        <w:t>Here</w:t>
      </w:r>
      <w:r w:rsidR="004A0613">
        <w:rPr>
          <w:rFonts w:ascii="Arial" w:hAnsi="Arial" w:cs="Arial"/>
          <w:sz w:val="22"/>
          <w:szCs w:val="22"/>
          <w:lang w:val="en-US"/>
        </w:rPr>
        <w:t>,</w:t>
      </w:r>
      <w:r w:rsidR="00A91912">
        <w:rPr>
          <w:rFonts w:ascii="Arial" w:hAnsi="Arial" w:cs="Arial"/>
          <w:sz w:val="22"/>
          <w:szCs w:val="22"/>
          <w:lang w:val="en-US"/>
        </w:rPr>
        <w:t xml:space="preserve"> we will </w:t>
      </w:r>
      <w:r w:rsidR="004A0613">
        <w:rPr>
          <w:rFonts w:ascii="Arial" w:hAnsi="Arial" w:cs="Arial"/>
          <w:sz w:val="22"/>
          <w:szCs w:val="22"/>
          <w:lang w:val="en-US"/>
        </w:rPr>
        <w:t>present</w:t>
      </w:r>
      <w:r w:rsidR="00A91912">
        <w:rPr>
          <w:rFonts w:ascii="Arial" w:hAnsi="Arial" w:cs="Arial"/>
          <w:sz w:val="22"/>
          <w:szCs w:val="22"/>
          <w:lang w:val="en-US"/>
        </w:rPr>
        <w:t xml:space="preserve"> recent examples of HERFD spectroscopy </w:t>
      </w:r>
      <w:r w:rsidR="004A0613">
        <w:rPr>
          <w:rFonts w:ascii="Arial" w:hAnsi="Arial" w:cs="Arial"/>
          <w:sz w:val="22"/>
          <w:szCs w:val="22"/>
          <w:lang w:val="en-US"/>
        </w:rPr>
        <w:t xml:space="preserve">applied </w:t>
      </w:r>
      <w:r w:rsidR="00A91912">
        <w:rPr>
          <w:rFonts w:ascii="Arial" w:hAnsi="Arial" w:cs="Arial"/>
          <w:sz w:val="22"/>
          <w:szCs w:val="22"/>
          <w:lang w:val="en-US"/>
        </w:rPr>
        <w:t xml:space="preserve">to environmentally relevant samples, with important implications </w:t>
      </w:r>
      <w:r w:rsidR="004A0613">
        <w:rPr>
          <w:rFonts w:ascii="Arial" w:hAnsi="Arial" w:cs="Arial"/>
          <w:sz w:val="22"/>
          <w:szCs w:val="22"/>
          <w:lang w:val="en-US"/>
        </w:rPr>
        <w:t>for</w:t>
      </w:r>
      <w:r w:rsidR="00A91912">
        <w:rPr>
          <w:rFonts w:ascii="Arial" w:hAnsi="Arial" w:cs="Arial"/>
          <w:sz w:val="22"/>
          <w:szCs w:val="22"/>
          <w:lang w:val="en-US"/>
        </w:rPr>
        <w:t xml:space="preserve"> our understanding of the fate of trace metals in modern and ancient sulfide</w:t>
      </w:r>
      <w:r w:rsidR="004A0613">
        <w:rPr>
          <w:rFonts w:ascii="Arial" w:hAnsi="Arial" w:cs="Arial"/>
          <w:sz w:val="22"/>
          <w:szCs w:val="22"/>
          <w:lang w:val="en-US"/>
        </w:rPr>
        <w:t>-</w:t>
      </w:r>
      <w:r w:rsidR="00A91912">
        <w:rPr>
          <w:rFonts w:ascii="Arial" w:hAnsi="Arial" w:cs="Arial"/>
          <w:sz w:val="22"/>
          <w:szCs w:val="22"/>
          <w:lang w:val="en-US"/>
        </w:rPr>
        <w:t>rich media</w:t>
      </w:r>
      <w:r w:rsidR="00A91912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. </w:t>
      </w:r>
      <w:r w:rsidR="004A0613">
        <w:rPr>
          <w:rFonts w:ascii="Arial" w:hAnsi="Arial" w:cs="Arial"/>
          <w:color w:val="000000"/>
          <w:sz w:val="22"/>
          <w:szCs w:val="22"/>
          <w:lang w:val="en-US" w:eastAsia="en-US"/>
        </w:rPr>
        <w:t>In particular</w:t>
      </w:r>
      <w:r w:rsidR="00A91912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, </w:t>
      </w:r>
      <w:r w:rsidR="00D5212D">
        <w:rPr>
          <w:rFonts w:ascii="Arial" w:hAnsi="Arial" w:cs="Arial"/>
          <w:color w:val="000000"/>
          <w:sz w:val="22"/>
          <w:szCs w:val="22"/>
          <w:lang w:val="en-US" w:eastAsia="en-US"/>
        </w:rPr>
        <w:t>a</w:t>
      </w:r>
      <w:r w:rsidR="00DF4639">
        <w:rPr>
          <w:rFonts w:ascii="Arial" w:hAnsi="Arial" w:cs="Arial"/>
          <w:color w:val="000000"/>
          <w:sz w:val="22"/>
          <w:szCs w:val="22"/>
          <w:lang w:val="en-US" w:eastAsia="en-US"/>
        </w:rPr>
        <w:t>uthigenic pyrite (FeS</w:t>
      </w:r>
      <w:r w:rsidR="00DF4639" w:rsidRPr="00DF4639">
        <w:rPr>
          <w:rFonts w:ascii="Arial" w:hAnsi="Arial" w:cs="Arial"/>
          <w:color w:val="000000"/>
          <w:sz w:val="22"/>
          <w:szCs w:val="22"/>
          <w:vertAlign w:val="subscript"/>
          <w:lang w:val="en-US" w:eastAsia="en-US"/>
        </w:rPr>
        <w:t>2</w:t>
      </w:r>
      <w:r w:rsidR="00DF4639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) </w:t>
      </w:r>
      <w:r w:rsidR="004A0613">
        <w:rPr>
          <w:rFonts w:ascii="Arial" w:hAnsi="Arial" w:cs="Arial"/>
          <w:color w:val="000000"/>
          <w:sz w:val="22"/>
          <w:szCs w:val="22"/>
          <w:lang w:val="en-US" w:eastAsia="en-US"/>
        </w:rPr>
        <w:t>has been</w:t>
      </w:r>
      <w:r w:rsidR="00A91912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intensively studied </w:t>
      </w:r>
      <w:r w:rsidR="004A0613">
        <w:rPr>
          <w:rFonts w:ascii="Arial" w:hAnsi="Arial" w:cs="Arial"/>
          <w:color w:val="000000"/>
          <w:sz w:val="22"/>
          <w:szCs w:val="22"/>
          <w:lang w:val="en-US" w:eastAsia="en-US"/>
        </w:rPr>
        <w:t>becaus</w:t>
      </w:r>
      <w:r w:rsidR="00A91912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e it can </w:t>
      </w:r>
      <w:r w:rsidR="00DF4639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record </w:t>
      </w:r>
      <w:r w:rsidR="002210FC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the chemical signature of </w:t>
      </w:r>
      <w:r w:rsidR="00DF4639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its precipitating medium, making it a valuable geochemical archive for </w:t>
      </w:r>
      <w:r w:rsidR="002210FC">
        <w:rPr>
          <w:rFonts w:ascii="Arial" w:hAnsi="Arial" w:cs="Arial"/>
          <w:color w:val="000000"/>
          <w:sz w:val="22"/>
          <w:szCs w:val="22"/>
          <w:lang w:val="en-US" w:eastAsia="en-US"/>
        </w:rPr>
        <w:t>interpreting</w:t>
      </w:r>
      <w:r w:rsidR="00DF4639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 w:rsidR="002210FC">
        <w:rPr>
          <w:rFonts w:ascii="Arial" w:hAnsi="Arial" w:cs="Arial"/>
          <w:color w:val="000000"/>
          <w:sz w:val="22"/>
          <w:szCs w:val="22"/>
          <w:lang w:val="en-US" w:eastAsia="en-US"/>
        </w:rPr>
        <w:t>past</w:t>
      </w:r>
      <w:r w:rsidR="00DF4639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 w:rsidR="002210FC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environments </w:t>
      </w:r>
      <w:r w:rsidR="00302C02">
        <w:rPr>
          <w:rFonts w:ascii="Arial" w:hAnsi="Arial" w:cs="Arial"/>
          <w:color w:val="000000"/>
          <w:sz w:val="22"/>
          <w:szCs w:val="22"/>
          <w:lang w:val="en-GB" w:eastAsia="zh-CN"/>
        </w:rPr>
        <w:t>[</w:t>
      </w:r>
      <w:r w:rsidR="004A0613" w:rsidRPr="003A7276">
        <w:rPr>
          <w:rFonts w:ascii="Arial" w:hAnsi="Arial" w:cs="Arial"/>
          <w:color w:val="000000"/>
          <w:sz w:val="22"/>
          <w:szCs w:val="22"/>
          <w:lang w:val="en-GB" w:eastAsia="zh-CN"/>
        </w:rPr>
        <w:t>4</w:t>
      </w:r>
      <w:r w:rsidR="00302C02">
        <w:rPr>
          <w:rFonts w:ascii="Arial" w:hAnsi="Arial" w:cs="Arial"/>
          <w:color w:val="000000"/>
          <w:sz w:val="22"/>
          <w:szCs w:val="22"/>
          <w:lang w:val="en-GB" w:eastAsia="zh-CN"/>
        </w:rPr>
        <w:t>]</w:t>
      </w:r>
      <w:r w:rsidR="00A91912">
        <w:rPr>
          <w:rFonts w:ascii="Arial" w:hAnsi="Arial" w:cs="Arial"/>
          <w:color w:val="000000"/>
          <w:sz w:val="22"/>
          <w:szCs w:val="22"/>
          <w:lang w:val="en-GB" w:eastAsia="zh-CN"/>
        </w:rPr>
        <w:t>. It also acts as an efficient sink for toxic and/or strategic metals in subsurface environments [</w:t>
      </w:r>
      <w:r w:rsidR="00652F34">
        <w:rPr>
          <w:rFonts w:ascii="Arial" w:hAnsi="Arial" w:cs="Arial"/>
          <w:color w:val="000000"/>
          <w:sz w:val="22"/>
          <w:szCs w:val="22"/>
          <w:lang w:val="en-GB"/>
        </w:rPr>
        <w:t>5</w:t>
      </w:r>
      <w:r w:rsidR="00A91912">
        <w:rPr>
          <w:rFonts w:ascii="Arial" w:hAnsi="Arial" w:cs="Arial"/>
          <w:color w:val="000000"/>
          <w:sz w:val="22"/>
          <w:szCs w:val="22"/>
          <w:lang w:val="en-GB" w:eastAsia="zh-CN"/>
        </w:rPr>
        <w:t>,</w:t>
      </w:r>
      <w:r w:rsidR="00652F34">
        <w:rPr>
          <w:rFonts w:ascii="Arial" w:hAnsi="Arial" w:cs="Arial"/>
          <w:color w:val="000000"/>
          <w:sz w:val="22"/>
          <w:szCs w:val="22"/>
          <w:lang w:val="en-GB"/>
        </w:rPr>
        <w:t>6</w:t>
      </w:r>
      <w:r w:rsidR="00A91912">
        <w:rPr>
          <w:rFonts w:ascii="Arial" w:hAnsi="Arial" w:cs="Arial"/>
          <w:color w:val="000000"/>
          <w:sz w:val="22"/>
          <w:szCs w:val="22"/>
          <w:lang w:val="en-GB" w:eastAsia="zh-CN"/>
        </w:rPr>
        <w:t>]</w:t>
      </w:r>
      <w:r w:rsidR="00302C02">
        <w:rPr>
          <w:rFonts w:ascii="Arial" w:hAnsi="Arial" w:cs="Arial"/>
          <w:color w:val="000000"/>
          <w:sz w:val="22"/>
          <w:szCs w:val="22"/>
          <w:lang w:val="en-GB" w:eastAsia="zh-CN"/>
        </w:rPr>
        <w:t>.</w:t>
      </w:r>
      <w:r w:rsidR="00EB0414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="0051234B" w:rsidRPr="0051234B">
        <w:rPr>
          <w:rFonts w:ascii="Arial" w:hAnsi="Arial" w:cs="Arial"/>
          <w:color w:val="000000"/>
          <w:sz w:val="22"/>
          <w:szCs w:val="22"/>
          <w:lang w:val="en-GB" w:eastAsia="zh-CN"/>
        </w:rPr>
        <w:t>HERFD-XAS data at the Co and C</w:t>
      </w:r>
      <w:r w:rsidR="000C760D">
        <w:rPr>
          <w:rFonts w:ascii="Arial" w:hAnsi="Arial" w:cs="Arial"/>
          <w:color w:val="000000"/>
          <w:sz w:val="22"/>
          <w:szCs w:val="22"/>
          <w:lang w:val="en-GB"/>
        </w:rPr>
        <w:t>u</w:t>
      </w:r>
      <w:r w:rsidR="0051234B" w:rsidRPr="0051234B">
        <w:rPr>
          <w:rFonts w:ascii="Arial" w:hAnsi="Arial" w:cs="Arial"/>
          <w:color w:val="000000"/>
          <w:sz w:val="22"/>
          <w:szCs w:val="22"/>
          <w:lang w:val="en-GB" w:eastAsia="zh-CN"/>
        </w:rPr>
        <w:t xml:space="preserve"> </w:t>
      </w:r>
      <w:r w:rsidR="0051234B" w:rsidRPr="003A7276">
        <w:rPr>
          <w:rFonts w:ascii="Arial" w:hAnsi="Arial" w:cs="Arial"/>
          <w:i/>
          <w:iCs/>
          <w:color w:val="000000"/>
          <w:sz w:val="22"/>
          <w:szCs w:val="22"/>
          <w:lang w:val="en-GB" w:eastAsia="zh-CN"/>
        </w:rPr>
        <w:t>K</w:t>
      </w:r>
      <w:r w:rsidR="0051234B" w:rsidRPr="0051234B">
        <w:rPr>
          <w:rFonts w:ascii="Arial" w:hAnsi="Arial" w:cs="Arial"/>
          <w:color w:val="000000"/>
          <w:sz w:val="22"/>
          <w:szCs w:val="22"/>
          <w:lang w:val="en-GB" w:eastAsia="zh-CN"/>
        </w:rPr>
        <w:t xml:space="preserve">-edge reveal new pyrite precursor and formation pathways, </w:t>
      </w:r>
      <w:r w:rsidR="003A7276">
        <w:rPr>
          <w:rFonts w:ascii="Arial" w:hAnsi="Arial" w:cs="Arial"/>
          <w:color w:val="000000"/>
          <w:sz w:val="22"/>
          <w:szCs w:val="22"/>
          <w:lang w:val="en-GB"/>
        </w:rPr>
        <w:t>ther</w:t>
      </w:r>
      <w:r w:rsidR="00752FBE">
        <w:rPr>
          <w:rFonts w:ascii="Arial" w:hAnsi="Arial" w:cs="Arial"/>
          <w:color w:val="000000"/>
          <w:sz w:val="22"/>
          <w:szCs w:val="22"/>
          <w:lang w:val="en-GB"/>
        </w:rPr>
        <w:t>e</w:t>
      </w:r>
      <w:r w:rsidR="003A7276">
        <w:rPr>
          <w:rFonts w:ascii="Arial" w:hAnsi="Arial" w:cs="Arial"/>
          <w:color w:val="000000"/>
          <w:sz w:val="22"/>
          <w:szCs w:val="22"/>
          <w:lang w:val="en-GB"/>
        </w:rPr>
        <w:t xml:space="preserve">by </w:t>
      </w:r>
      <w:r w:rsidR="0051234B" w:rsidRPr="0051234B">
        <w:rPr>
          <w:rFonts w:ascii="Arial" w:hAnsi="Arial" w:cs="Arial"/>
          <w:color w:val="000000"/>
          <w:sz w:val="22"/>
          <w:szCs w:val="22"/>
          <w:lang w:val="en-GB" w:eastAsia="zh-CN"/>
        </w:rPr>
        <w:t>impacting our understanding of pyrite formation, trace elements at low temperature</w:t>
      </w:r>
      <w:r w:rsidR="000C760D">
        <w:rPr>
          <w:rFonts w:ascii="Arial" w:hAnsi="Arial" w:cs="Arial"/>
          <w:color w:val="000000"/>
          <w:sz w:val="22"/>
          <w:szCs w:val="22"/>
          <w:lang w:val="en-GB"/>
        </w:rPr>
        <w:t>s</w:t>
      </w:r>
      <w:r w:rsidR="0051234B" w:rsidRPr="0051234B">
        <w:rPr>
          <w:rFonts w:ascii="Arial" w:hAnsi="Arial" w:cs="Arial"/>
          <w:color w:val="000000"/>
          <w:sz w:val="22"/>
          <w:szCs w:val="22"/>
          <w:lang w:val="en-GB" w:eastAsia="zh-CN"/>
        </w:rPr>
        <w:t>, biogeochemical cycling, metal-</w:t>
      </w:r>
      <w:proofErr w:type="spellStart"/>
      <w:r w:rsidR="0051234B" w:rsidRPr="0051234B">
        <w:rPr>
          <w:rFonts w:ascii="Arial" w:hAnsi="Arial" w:cs="Arial"/>
          <w:color w:val="000000"/>
          <w:sz w:val="22"/>
          <w:szCs w:val="22"/>
          <w:lang w:val="en-GB" w:eastAsia="zh-CN"/>
        </w:rPr>
        <w:t>sulfide</w:t>
      </w:r>
      <w:proofErr w:type="spellEnd"/>
      <w:r w:rsidR="0051234B" w:rsidRPr="0051234B">
        <w:rPr>
          <w:rFonts w:ascii="Arial" w:hAnsi="Arial" w:cs="Arial"/>
          <w:color w:val="000000"/>
          <w:sz w:val="22"/>
          <w:szCs w:val="22"/>
          <w:lang w:val="en-GB" w:eastAsia="zh-CN"/>
        </w:rPr>
        <w:t xml:space="preserve"> evolution in sediments, and geochemical archives</w:t>
      </w:r>
      <w:r w:rsidR="0051234B">
        <w:rPr>
          <w:rFonts w:ascii="Arial" w:hAnsi="Arial" w:cs="Arial"/>
          <w:color w:val="000000"/>
          <w:sz w:val="22"/>
          <w:szCs w:val="22"/>
          <w:lang w:val="en-GB"/>
        </w:rPr>
        <w:t xml:space="preserve"> [7].</w:t>
      </w:r>
    </w:p>
    <w:p w:rsidR="00EB0414" w:rsidRPr="000F7119" w:rsidRDefault="00EB0414" w:rsidP="00001C70">
      <w:pPr>
        <w:pStyle w:val="NormalWeb"/>
        <w:spacing w:before="0" w:beforeAutospacing="0" w:after="0" w:afterAutospacing="0" w:line="276" w:lineRule="auto"/>
        <w:jc w:val="both"/>
        <w:rPr>
          <w:lang w:val="en-US" w:eastAsia="en-US"/>
        </w:rPr>
      </w:pPr>
    </w:p>
    <w:p w:rsidR="00EB0414" w:rsidRPr="003A7276" w:rsidRDefault="00EB0414" w:rsidP="003A7276">
      <w:pPr>
        <w:pStyle w:val="NormalWeb"/>
        <w:spacing w:before="0" w:beforeAutospacing="0" w:after="0" w:afterAutospacing="0" w:line="276" w:lineRule="auto"/>
        <w:ind w:firstLine="284"/>
        <w:jc w:val="center"/>
        <w:rPr>
          <w:rFonts w:ascii="Arial" w:hAnsi="Arial" w:cs="Arial"/>
          <w:b/>
          <w:bCs/>
          <w:caps/>
          <w:color w:val="0000FF"/>
          <w:sz w:val="28"/>
          <w:szCs w:val="28"/>
          <w:lang w:val="fr-FR"/>
        </w:rPr>
      </w:pPr>
      <w:r w:rsidRPr="003A7276">
        <w:rPr>
          <w:rFonts w:ascii="Arial" w:hAnsi="Arial" w:cs="Arial"/>
          <w:b/>
          <w:bCs/>
          <w:sz w:val="22"/>
          <w:szCs w:val="22"/>
        </w:rPr>
        <w:t>REFERENCES</w:t>
      </w:r>
      <w:r w:rsidRPr="003A7276" w:rsidDel="00EB0414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25034D" w:rsidRPr="00EB0414" w:rsidRDefault="0025034D" w:rsidP="0025034D">
      <w:pPr>
        <w:autoSpaceDE w:val="0"/>
        <w:autoSpaceDN w:val="0"/>
        <w:adjustRightInd w:val="0"/>
        <w:rPr>
          <w:rFonts w:ascii="Arial" w:hAnsi="Arial" w:cs="Arial"/>
          <w:sz w:val="15"/>
          <w:szCs w:val="15"/>
          <w:lang w:eastAsia="en-US"/>
        </w:rPr>
      </w:pPr>
      <w:r w:rsidRPr="00EB0414">
        <w:rPr>
          <w:rFonts w:ascii="Arial" w:hAnsi="Arial" w:cs="Arial"/>
          <w:sz w:val="15"/>
          <w:szCs w:val="15"/>
        </w:rPr>
        <w:t xml:space="preserve">1. </w:t>
      </w:r>
      <w:r w:rsidRPr="00EB0414">
        <w:rPr>
          <w:rFonts w:ascii="Arial" w:hAnsi="Arial" w:cs="Arial"/>
          <w:sz w:val="15"/>
          <w:szCs w:val="15"/>
          <w:lang w:eastAsia="en-US"/>
        </w:rPr>
        <w:t>Rueff</w:t>
      </w:r>
      <w:r w:rsidR="00071C82" w:rsidRPr="00EB0414">
        <w:rPr>
          <w:rFonts w:ascii="Arial" w:hAnsi="Arial" w:cs="Arial"/>
          <w:sz w:val="15"/>
          <w:szCs w:val="15"/>
          <w:lang w:eastAsia="en-US"/>
        </w:rPr>
        <w:t xml:space="preserve"> et al.,</w:t>
      </w:r>
      <w:r w:rsidRPr="00EB0414">
        <w:rPr>
          <w:rFonts w:ascii="Arial" w:hAnsi="Arial" w:cs="Arial"/>
          <w:sz w:val="15"/>
          <w:szCs w:val="15"/>
          <w:lang w:eastAsia="en-US"/>
        </w:rPr>
        <w:t xml:space="preserve"> Phys. </w:t>
      </w:r>
      <w:proofErr w:type="spellStart"/>
      <w:r w:rsidRPr="00EB0414">
        <w:rPr>
          <w:rFonts w:ascii="Arial" w:hAnsi="Arial" w:cs="Arial"/>
          <w:sz w:val="15"/>
          <w:szCs w:val="15"/>
          <w:lang w:eastAsia="en-US"/>
        </w:rPr>
        <w:t>Rev</w:t>
      </w:r>
      <w:proofErr w:type="spellEnd"/>
      <w:r w:rsidRPr="00EB0414">
        <w:rPr>
          <w:rFonts w:ascii="Arial" w:hAnsi="Arial" w:cs="Arial"/>
          <w:sz w:val="15"/>
          <w:szCs w:val="15"/>
          <w:lang w:eastAsia="en-US"/>
        </w:rPr>
        <w:t xml:space="preserve">. B, </w:t>
      </w:r>
      <w:r w:rsidRPr="003A7276">
        <w:rPr>
          <w:rFonts w:ascii="Arial" w:hAnsi="Arial" w:cs="Arial"/>
          <w:sz w:val="15"/>
          <w:szCs w:val="15"/>
          <w:lang w:eastAsia="en-US"/>
        </w:rPr>
        <w:t>69</w:t>
      </w:r>
      <w:r w:rsidRPr="00EB0414">
        <w:rPr>
          <w:rFonts w:ascii="Arial" w:hAnsi="Arial" w:cs="Arial"/>
          <w:sz w:val="15"/>
          <w:szCs w:val="15"/>
          <w:lang w:eastAsia="en-US"/>
        </w:rPr>
        <w:t>, 235107 (2004)</w:t>
      </w:r>
    </w:p>
    <w:p w:rsidR="0025034D" w:rsidRPr="00EB0414" w:rsidRDefault="0025034D" w:rsidP="005166FE">
      <w:pPr>
        <w:pStyle w:val="reference"/>
        <w:rPr>
          <w:rFonts w:ascii="Arial" w:hAnsi="Arial" w:cs="Arial"/>
          <w:sz w:val="15"/>
          <w:szCs w:val="15"/>
        </w:rPr>
      </w:pPr>
      <w:r w:rsidRPr="00EB0414">
        <w:rPr>
          <w:rFonts w:ascii="Arial" w:hAnsi="Arial" w:cs="Arial"/>
          <w:sz w:val="15"/>
          <w:szCs w:val="15"/>
        </w:rPr>
        <w:t xml:space="preserve">2. </w:t>
      </w:r>
      <w:r w:rsidR="00D13214" w:rsidRPr="00EB0414">
        <w:rPr>
          <w:rFonts w:ascii="Arial" w:hAnsi="Arial" w:cs="Arial"/>
          <w:sz w:val="15"/>
          <w:szCs w:val="15"/>
        </w:rPr>
        <w:t xml:space="preserve">Le Pape </w:t>
      </w:r>
      <w:r w:rsidR="00071C82" w:rsidRPr="00EB0414">
        <w:rPr>
          <w:rFonts w:ascii="Arial" w:hAnsi="Arial" w:cs="Arial"/>
          <w:sz w:val="15"/>
          <w:szCs w:val="15"/>
        </w:rPr>
        <w:t>et al</w:t>
      </w:r>
      <w:r w:rsidR="00715BE7" w:rsidRPr="00EB0414">
        <w:rPr>
          <w:rFonts w:ascii="Arial" w:hAnsi="Arial" w:cs="Arial"/>
          <w:sz w:val="15"/>
          <w:szCs w:val="15"/>
        </w:rPr>
        <w:t>., J.</w:t>
      </w:r>
      <w:r w:rsidRPr="00EB0414">
        <w:rPr>
          <w:rFonts w:ascii="Arial" w:hAnsi="Arial" w:cs="Arial"/>
          <w:i/>
          <w:iCs/>
          <w:sz w:val="15"/>
          <w:szCs w:val="15"/>
        </w:rPr>
        <w:t xml:space="preserve"> Anal. At. </w:t>
      </w:r>
      <w:proofErr w:type="spellStart"/>
      <w:r w:rsidRPr="00EB0414">
        <w:rPr>
          <w:rFonts w:ascii="Arial" w:hAnsi="Arial" w:cs="Arial"/>
          <w:i/>
          <w:iCs/>
          <w:sz w:val="15"/>
          <w:szCs w:val="15"/>
        </w:rPr>
        <w:t>Spectrom</w:t>
      </w:r>
      <w:proofErr w:type="spellEnd"/>
      <w:r w:rsidRPr="00EB0414">
        <w:rPr>
          <w:rFonts w:ascii="Arial" w:hAnsi="Arial" w:cs="Arial"/>
          <w:i/>
          <w:iCs/>
          <w:sz w:val="15"/>
          <w:szCs w:val="15"/>
        </w:rPr>
        <w:t>.</w:t>
      </w:r>
      <w:r w:rsidRPr="00EB0414">
        <w:rPr>
          <w:rFonts w:ascii="Arial" w:hAnsi="Arial" w:cs="Arial"/>
          <w:sz w:val="15"/>
          <w:szCs w:val="15"/>
        </w:rPr>
        <w:t xml:space="preserve">, </w:t>
      </w:r>
      <w:r w:rsidRPr="003A7276">
        <w:rPr>
          <w:rFonts w:ascii="Arial" w:hAnsi="Arial" w:cs="Arial"/>
          <w:sz w:val="15"/>
          <w:szCs w:val="15"/>
        </w:rPr>
        <w:t>33(12)</w:t>
      </w:r>
      <w:r w:rsidRPr="00EB0414">
        <w:rPr>
          <w:rFonts w:ascii="Arial" w:hAnsi="Arial" w:cs="Arial"/>
          <w:sz w:val="15"/>
          <w:szCs w:val="15"/>
        </w:rPr>
        <w:t xml:space="preserve">, 2070-2082 </w:t>
      </w:r>
      <w:r w:rsidR="00071C82" w:rsidRPr="00EB0414">
        <w:rPr>
          <w:rFonts w:ascii="Arial" w:hAnsi="Arial" w:cs="Arial"/>
          <w:sz w:val="15"/>
          <w:szCs w:val="15"/>
        </w:rPr>
        <w:t>(</w:t>
      </w:r>
      <w:r w:rsidRPr="00EB0414">
        <w:rPr>
          <w:rFonts w:ascii="Arial" w:hAnsi="Arial" w:cs="Arial"/>
          <w:sz w:val="15"/>
          <w:szCs w:val="15"/>
        </w:rPr>
        <w:t>2018</w:t>
      </w:r>
      <w:r w:rsidR="00071C82" w:rsidRPr="00EB0414">
        <w:rPr>
          <w:rFonts w:ascii="Arial" w:hAnsi="Arial" w:cs="Arial"/>
          <w:sz w:val="15"/>
          <w:szCs w:val="15"/>
        </w:rPr>
        <w:t>)</w:t>
      </w:r>
    </w:p>
    <w:p w:rsidR="004A0613" w:rsidRPr="003A7276" w:rsidRDefault="004A0613" w:rsidP="005166FE">
      <w:pPr>
        <w:pStyle w:val="reference"/>
        <w:rPr>
          <w:rFonts w:ascii="Arial" w:hAnsi="Arial" w:cs="Arial"/>
          <w:sz w:val="15"/>
          <w:szCs w:val="15"/>
          <w:lang w:val="en-US"/>
        </w:rPr>
      </w:pPr>
      <w:r w:rsidRPr="003A7276">
        <w:rPr>
          <w:rFonts w:ascii="Arial" w:hAnsi="Arial" w:cs="Arial"/>
          <w:sz w:val="15"/>
          <w:szCs w:val="15"/>
          <w:lang w:val="en-US"/>
        </w:rPr>
        <w:t>3.</w:t>
      </w:r>
      <w:r w:rsidRPr="003A7276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 xml:space="preserve"> </w:t>
      </w:r>
      <w:proofErr w:type="spellStart"/>
      <w:r w:rsidRPr="003A7276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>Dublet</w:t>
      </w:r>
      <w:proofErr w:type="spellEnd"/>
      <w:r w:rsidRPr="003A7276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 xml:space="preserve"> et al.,</w:t>
      </w:r>
      <w:r w:rsidRPr="003A7276">
        <w:rPr>
          <w:rStyle w:val="apple-converted-space"/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> </w:t>
      </w:r>
      <w:proofErr w:type="spellStart"/>
      <w:r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>Geochim</w:t>
      </w:r>
      <w:proofErr w:type="spellEnd"/>
      <w:r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 xml:space="preserve">. </w:t>
      </w:r>
      <w:proofErr w:type="spellStart"/>
      <w:r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>Cosmochim</w:t>
      </w:r>
      <w:proofErr w:type="spellEnd"/>
      <w:r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>. Acta.,</w:t>
      </w:r>
      <w:r w:rsidRPr="003A7276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>217</w:t>
      </w:r>
      <w:r w:rsidRPr="003A7276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>, 1-15. (2017)</w:t>
      </w:r>
    </w:p>
    <w:p w:rsidR="00071C82" w:rsidRPr="00EB0414" w:rsidRDefault="004A0613" w:rsidP="005166FE">
      <w:pPr>
        <w:pStyle w:val="reference"/>
        <w:rPr>
          <w:rFonts w:ascii="Arial" w:hAnsi="Arial" w:cs="Arial"/>
          <w:sz w:val="15"/>
          <w:szCs w:val="15"/>
          <w:lang w:val="en-US"/>
        </w:rPr>
      </w:pPr>
      <w:r w:rsidRPr="00EB0414">
        <w:rPr>
          <w:rFonts w:ascii="Arial" w:hAnsi="Arial" w:cs="Arial"/>
          <w:sz w:val="15"/>
          <w:szCs w:val="15"/>
        </w:rPr>
        <w:t>4</w:t>
      </w:r>
      <w:r w:rsidR="00071C82" w:rsidRPr="00EB0414">
        <w:rPr>
          <w:rFonts w:ascii="Arial" w:hAnsi="Arial" w:cs="Arial"/>
          <w:sz w:val="15"/>
          <w:szCs w:val="15"/>
        </w:rPr>
        <w:t xml:space="preserve">. </w:t>
      </w:r>
      <w:proofErr w:type="spellStart"/>
      <w:r w:rsidR="00071C82" w:rsidRPr="00EB0414">
        <w:rPr>
          <w:rFonts w:ascii="Arial" w:hAnsi="Arial" w:cs="Arial"/>
          <w:sz w:val="15"/>
          <w:szCs w:val="15"/>
        </w:rPr>
        <w:t>Emmings</w:t>
      </w:r>
      <w:proofErr w:type="spellEnd"/>
      <w:r w:rsidR="00071C82" w:rsidRPr="00EB0414">
        <w:rPr>
          <w:rFonts w:ascii="Arial" w:hAnsi="Arial" w:cs="Arial"/>
          <w:sz w:val="15"/>
          <w:szCs w:val="15"/>
        </w:rPr>
        <w:t xml:space="preserve"> et al.</w:t>
      </w:r>
      <w:r w:rsidR="00353EC9" w:rsidRPr="00EB0414">
        <w:rPr>
          <w:rFonts w:ascii="Arial" w:hAnsi="Arial" w:cs="Arial"/>
          <w:sz w:val="15"/>
          <w:szCs w:val="15"/>
        </w:rPr>
        <w:t xml:space="preserve">, </w:t>
      </w:r>
      <w:proofErr w:type="spellStart"/>
      <w:r w:rsidR="00071C82" w:rsidRPr="00EB0414">
        <w:rPr>
          <w:rFonts w:ascii="Arial" w:hAnsi="Arial" w:cs="Arial"/>
          <w:sz w:val="15"/>
          <w:szCs w:val="15"/>
        </w:rPr>
        <w:t>Sci</w:t>
      </w:r>
      <w:proofErr w:type="spellEnd"/>
      <w:r w:rsidR="00715BE7" w:rsidRPr="00EB0414">
        <w:rPr>
          <w:rFonts w:ascii="Arial" w:hAnsi="Arial" w:cs="Arial"/>
          <w:sz w:val="15"/>
          <w:szCs w:val="15"/>
        </w:rPr>
        <w:t>.</w:t>
      </w:r>
      <w:r w:rsidR="00071C82" w:rsidRPr="00EB0414">
        <w:rPr>
          <w:rFonts w:ascii="Arial" w:hAnsi="Arial" w:cs="Arial"/>
          <w:sz w:val="15"/>
          <w:szCs w:val="15"/>
        </w:rPr>
        <w:t xml:space="preserve"> Adv</w:t>
      </w:r>
      <w:r w:rsidR="00715BE7" w:rsidRPr="00EB0414">
        <w:rPr>
          <w:rFonts w:ascii="Arial" w:hAnsi="Arial" w:cs="Arial"/>
          <w:sz w:val="15"/>
          <w:szCs w:val="15"/>
        </w:rPr>
        <w:t xml:space="preserve">., </w:t>
      </w:r>
      <w:r w:rsidR="00071C82" w:rsidRPr="003A7276">
        <w:rPr>
          <w:rFonts w:ascii="Arial" w:hAnsi="Arial" w:cs="Arial"/>
          <w:sz w:val="15"/>
          <w:szCs w:val="15"/>
        </w:rPr>
        <w:t>8</w:t>
      </w:r>
      <w:r w:rsidR="009E6215" w:rsidRPr="003A7276">
        <w:rPr>
          <w:rFonts w:ascii="Arial" w:hAnsi="Arial" w:cs="Arial"/>
          <w:sz w:val="15"/>
          <w:szCs w:val="15"/>
        </w:rPr>
        <w:t>(</w:t>
      </w:r>
      <w:r w:rsidR="00071C82" w:rsidRPr="003A7276">
        <w:rPr>
          <w:rFonts w:ascii="Arial" w:hAnsi="Arial" w:cs="Arial"/>
          <w:sz w:val="15"/>
          <w:szCs w:val="15"/>
        </w:rPr>
        <w:t>11</w:t>
      </w:r>
      <w:r w:rsidR="009E6215" w:rsidRPr="003A7276">
        <w:rPr>
          <w:rFonts w:ascii="Arial" w:hAnsi="Arial" w:cs="Arial"/>
          <w:sz w:val="15"/>
          <w:szCs w:val="15"/>
        </w:rPr>
        <w:t>)</w:t>
      </w:r>
      <w:r w:rsidR="00353EC9" w:rsidRPr="00EB0414">
        <w:rPr>
          <w:rFonts w:ascii="Arial" w:hAnsi="Arial" w:cs="Arial"/>
          <w:sz w:val="15"/>
          <w:szCs w:val="15"/>
        </w:rPr>
        <w:t xml:space="preserve">, </w:t>
      </w:r>
      <w:r w:rsidR="00071C82" w:rsidRPr="00EB0414">
        <w:rPr>
          <w:rFonts w:ascii="Arial" w:hAnsi="Arial" w:cs="Arial"/>
          <w:sz w:val="15"/>
          <w:szCs w:val="15"/>
        </w:rPr>
        <w:t>eabj5687.</w:t>
      </w:r>
      <w:r w:rsidR="00353EC9" w:rsidRPr="00EB0414">
        <w:rPr>
          <w:rFonts w:ascii="Arial" w:hAnsi="Arial" w:cs="Arial"/>
          <w:sz w:val="15"/>
          <w:szCs w:val="15"/>
        </w:rPr>
        <w:t xml:space="preserve"> </w:t>
      </w:r>
      <w:r w:rsidR="00353EC9" w:rsidRPr="00EB0414">
        <w:rPr>
          <w:rFonts w:ascii="Arial" w:hAnsi="Arial" w:cs="Arial"/>
          <w:sz w:val="15"/>
          <w:szCs w:val="15"/>
          <w:lang w:val="en-US"/>
        </w:rPr>
        <w:t>(2022).</w:t>
      </w:r>
    </w:p>
    <w:p w:rsidR="003576F1" w:rsidRPr="003A7276" w:rsidRDefault="00652F34" w:rsidP="005166FE">
      <w:pPr>
        <w:pStyle w:val="reference"/>
        <w:rPr>
          <w:rFonts w:ascii="Arial" w:hAnsi="Arial" w:cs="Arial"/>
          <w:sz w:val="15"/>
          <w:szCs w:val="15"/>
        </w:rPr>
      </w:pPr>
      <w:r w:rsidRPr="00EB0414">
        <w:rPr>
          <w:rFonts w:ascii="Arial" w:hAnsi="Arial" w:cs="Arial"/>
          <w:sz w:val="15"/>
          <w:szCs w:val="15"/>
          <w:lang w:val="en-US"/>
        </w:rPr>
        <w:t>5</w:t>
      </w:r>
      <w:r w:rsidR="003576F1" w:rsidRPr="00EB0414">
        <w:rPr>
          <w:rFonts w:ascii="Arial" w:hAnsi="Arial" w:cs="Arial"/>
          <w:sz w:val="15"/>
          <w:szCs w:val="15"/>
          <w:lang w:val="en-US"/>
        </w:rPr>
        <w:t xml:space="preserve">. </w:t>
      </w:r>
      <w:r w:rsidR="009E07C5" w:rsidRPr="00EB0414">
        <w:rPr>
          <w:rFonts w:ascii="Arial" w:hAnsi="Arial" w:cs="Arial"/>
          <w:sz w:val="15"/>
          <w:szCs w:val="15"/>
          <w:lang w:val="en-US"/>
        </w:rPr>
        <w:t xml:space="preserve">Singer, D. A., Ore. Geol. </w:t>
      </w:r>
      <w:proofErr w:type="spellStart"/>
      <w:r w:rsidR="009E07C5" w:rsidRPr="00EB0414">
        <w:rPr>
          <w:rFonts w:ascii="Arial" w:hAnsi="Arial" w:cs="Arial"/>
          <w:sz w:val="15"/>
          <w:szCs w:val="15"/>
        </w:rPr>
        <w:t>Rev</w:t>
      </w:r>
      <w:proofErr w:type="spellEnd"/>
      <w:r w:rsidR="009E07C5" w:rsidRPr="00EB0414">
        <w:rPr>
          <w:rFonts w:ascii="Arial" w:hAnsi="Arial" w:cs="Arial"/>
          <w:sz w:val="15"/>
          <w:szCs w:val="15"/>
        </w:rPr>
        <w:t>.</w:t>
      </w:r>
      <w:r w:rsidR="009E07C5" w:rsidRPr="003A7276">
        <w:rPr>
          <w:rFonts w:ascii="Arial" w:hAnsi="Arial" w:cs="Arial"/>
          <w:sz w:val="15"/>
          <w:szCs w:val="15"/>
        </w:rPr>
        <w:t>, 86, 271-279 (2017)</w:t>
      </w:r>
    </w:p>
    <w:p w:rsidR="009B7ACB" w:rsidRPr="00EB0414" w:rsidRDefault="00652F34" w:rsidP="005166FE">
      <w:pPr>
        <w:pStyle w:val="reference"/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</w:pPr>
      <w:r w:rsidRPr="00EB0414">
        <w:rPr>
          <w:rFonts w:ascii="Arial" w:hAnsi="Arial" w:cs="Arial"/>
          <w:sz w:val="15"/>
          <w:szCs w:val="15"/>
        </w:rPr>
        <w:t>6</w:t>
      </w:r>
      <w:r w:rsidR="009B7ACB" w:rsidRPr="00EB0414">
        <w:rPr>
          <w:rFonts w:ascii="Arial" w:hAnsi="Arial" w:cs="Arial"/>
          <w:sz w:val="15"/>
          <w:szCs w:val="15"/>
        </w:rPr>
        <w:t>.</w:t>
      </w:r>
      <w:r w:rsidR="009B7ACB" w:rsidRPr="00EB0414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</w:t>
      </w:r>
      <w:proofErr w:type="spellStart"/>
      <w:r w:rsidR="009B7ACB" w:rsidRPr="00EB0414">
        <w:rPr>
          <w:rFonts w:ascii="Arial" w:hAnsi="Arial" w:cs="Arial"/>
          <w:color w:val="222222"/>
          <w:sz w:val="15"/>
          <w:szCs w:val="15"/>
          <w:shd w:val="clear" w:color="auto" w:fill="FFFFFF"/>
        </w:rPr>
        <w:t>Bertrandsson</w:t>
      </w:r>
      <w:proofErr w:type="spellEnd"/>
      <w:r w:rsidR="009B7ACB" w:rsidRPr="00EB0414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</w:t>
      </w:r>
      <w:proofErr w:type="spellStart"/>
      <w:r w:rsidR="009B7ACB" w:rsidRPr="00EB0414">
        <w:rPr>
          <w:rFonts w:ascii="Arial" w:hAnsi="Arial" w:cs="Arial"/>
          <w:color w:val="222222"/>
          <w:sz w:val="15"/>
          <w:szCs w:val="15"/>
          <w:shd w:val="clear" w:color="auto" w:fill="FFFFFF"/>
        </w:rPr>
        <w:t>Erlandsson</w:t>
      </w:r>
      <w:proofErr w:type="spellEnd"/>
      <w:r w:rsidR="009B7ACB" w:rsidRPr="00EB0414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et al.,</w:t>
      </w:r>
      <w:r w:rsidR="009B7ACB" w:rsidRPr="00EB0414">
        <w:rPr>
          <w:rStyle w:val="apple-converted-space"/>
          <w:rFonts w:ascii="Arial" w:hAnsi="Arial" w:cs="Arial"/>
          <w:color w:val="222222"/>
          <w:sz w:val="15"/>
          <w:szCs w:val="15"/>
          <w:shd w:val="clear" w:color="auto" w:fill="FFFFFF"/>
        </w:rPr>
        <w:t> </w:t>
      </w:r>
      <w:r w:rsidR="009B7ACB" w:rsidRPr="00EB0414">
        <w:rPr>
          <w:rFonts w:ascii="Arial" w:hAnsi="Arial" w:cs="Arial"/>
          <w:i/>
          <w:iCs/>
          <w:color w:val="222222"/>
          <w:sz w:val="15"/>
          <w:szCs w:val="15"/>
        </w:rPr>
        <w:t xml:space="preserve">Miner. </w:t>
      </w:r>
      <w:r w:rsidR="009B7ACB"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 xml:space="preserve">Deposita, </w:t>
      </w:r>
      <w:r w:rsidR="009B7ACB" w:rsidRPr="003A7276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>60(5)</w:t>
      </w:r>
      <w:r w:rsidR="009B7ACB" w:rsidRPr="00EB0414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>, 869-894, (2025)</w:t>
      </w:r>
    </w:p>
    <w:p w:rsidR="005166FE" w:rsidRPr="00F41202" w:rsidRDefault="00652F34" w:rsidP="003A7276">
      <w:pPr>
        <w:pStyle w:val="reference"/>
        <w:ind w:left="0" w:firstLine="0"/>
        <w:rPr>
          <w:rFonts w:ascii="Arial" w:hAnsi="Arial" w:cs="Arial"/>
          <w:sz w:val="15"/>
          <w:szCs w:val="15"/>
          <w:lang w:val="en-US"/>
        </w:rPr>
      </w:pPr>
      <w:r w:rsidRPr="00EB0414">
        <w:rPr>
          <w:rFonts w:ascii="Arial" w:hAnsi="Arial" w:cs="Arial"/>
          <w:sz w:val="15"/>
          <w:szCs w:val="15"/>
          <w:lang w:val="en-US"/>
        </w:rPr>
        <w:t xml:space="preserve">7. </w:t>
      </w:r>
      <w:r w:rsidRPr="00EB0414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 xml:space="preserve">Deng et al., </w:t>
      </w:r>
      <w:proofErr w:type="spellStart"/>
      <w:r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>Geochim</w:t>
      </w:r>
      <w:proofErr w:type="spellEnd"/>
      <w:r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 xml:space="preserve">. </w:t>
      </w:r>
      <w:proofErr w:type="spellStart"/>
      <w:r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>Cosmochim</w:t>
      </w:r>
      <w:proofErr w:type="spellEnd"/>
      <w:r w:rsidRPr="00EB0414">
        <w:rPr>
          <w:rFonts w:ascii="Arial" w:hAnsi="Arial" w:cs="Arial"/>
          <w:i/>
          <w:iCs/>
          <w:color w:val="222222"/>
          <w:sz w:val="15"/>
          <w:szCs w:val="15"/>
          <w:lang w:val="en-US"/>
        </w:rPr>
        <w:t xml:space="preserve">. Acta., </w:t>
      </w:r>
      <w:r w:rsidRPr="003A7276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>401,</w:t>
      </w:r>
      <w:r w:rsidRPr="00EB0414"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  <w:t xml:space="preserve"> 104-121 (2025)</w:t>
      </w:r>
      <w:bookmarkStart w:id="0" w:name="Name1"/>
      <w:bookmarkEnd w:id="0"/>
    </w:p>
    <w:sectPr w:rsidR="005166FE" w:rsidRPr="00F412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6FE"/>
    <w:rsid w:val="00001C1B"/>
    <w:rsid w:val="00001C70"/>
    <w:rsid w:val="00025437"/>
    <w:rsid w:val="00041ED8"/>
    <w:rsid w:val="000671C9"/>
    <w:rsid w:val="000672D8"/>
    <w:rsid w:val="00071C82"/>
    <w:rsid w:val="000C760D"/>
    <w:rsid w:val="000F2FCF"/>
    <w:rsid w:val="000F7119"/>
    <w:rsid w:val="00127DC7"/>
    <w:rsid w:val="001533E2"/>
    <w:rsid w:val="001E4D47"/>
    <w:rsid w:val="001E59E4"/>
    <w:rsid w:val="00212D0B"/>
    <w:rsid w:val="00214F33"/>
    <w:rsid w:val="002210FC"/>
    <w:rsid w:val="0022773A"/>
    <w:rsid w:val="0025034D"/>
    <w:rsid w:val="00274A2E"/>
    <w:rsid w:val="00297F1D"/>
    <w:rsid w:val="002E40F1"/>
    <w:rsid w:val="00302C02"/>
    <w:rsid w:val="003334D1"/>
    <w:rsid w:val="00353EC9"/>
    <w:rsid w:val="003576F1"/>
    <w:rsid w:val="00371E7A"/>
    <w:rsid w:val="003A7276"/>
    <w:rsid w:val="003B3940"/>
    <w:rsid w:val="003F2F54"/>
    <w:rsid w:val="0046672D"/>
    <w:rsid w:val="004A0613"/>
    <w:rsid w:val="004B3857"/>
    <w:rsid w:val="0051234B"/>
    <w:rsid w:val="005166FE"/>
    <w:rsid w:val="00524C65"/>
    <w:rsid w:val="00541209"/>
    <w:rsid w:val="00593FC8"/>
    <w:rsid w:val="005D5391"/>
    <w:rsid w:val="0063764B"/>
    <w:rsid w:val="006477D0"/>
    <w:rsid w:val="00652F34"/>
    <w:rsid w:val="006C2917"/>
    <w:rsid w:val="006F6D01"/>
    <w:rsid w:val="007075B2"/>
    <w:rsid w:val="00715BE7"/>
    <w:rsid w:val="00722D9B"/>
    <w:rsid w:val="00752FBE"/>
    <w:rsid w:val="007E1468"/>
    <w:rsid w:val="007E58F3"/>
    <w:rsid w:val="007E7378"/>
    <w:rsid w:val="007E7BA4"/>
    <w:rsid w:val="00821D9B"/>
    <w:rsid w:val="008958B3"/>
    <w:rsid w:val="008D4E08"/>
    <w:rsid w:val="008D5ABF"/>
    <w:rsid w:val="00902E6C"/>
    <w:rsid w:val="0091292E"/>
    <w:rsid w:val="0093594D"/>
    <w:rsid w:val="0095499B"/>
    <w:rsid w:val="009631EF"/>
    <w:rsid w:val="00982164"/>
    <w:rsid w:val="009A73B7"/>
    <w:rsid w:val="009B7ACB"/>
    <w:rsid w:val="009D426F"/>
    <w:rsid w:val="009D727D"/>
    <w:rsid w:val="009E07C5"/>
    <w:rsid w:val="009E6215"/>
    <w:rsid w:val="009E6643"/>
    <w:rsid w:val="009F08B1"/>
    <w:rsid w:val="00A039EF"/>
    <w:rsid w:val="00A91912"/>
    <w:rsid w:val="00AB1846"/>
    <w:rsid w:val="00AC0D66"/>
    <w:rsid w:val="00AE5609"/>
    <w:rsid w:val="00AF44BD"/>
    <w:rsid w:val="00B06DCF"/>
    <w:rsid w:val="00B10B2C"/>
    <w:rsid w:val="00B46CE7"/>
    <w:rsid w:val="00B82523"/>
    <w:rsid w:val="00B83806"/>
    <w:rsid w:val="00BA6641"/>
    <w:rsid w:val="00BC0737"/>
    <w:rsid w:val="00C046C9"/>
    <w:rsid w:val="00C47334"/>
    <w:rsid w:val="00C84996"/>
    <w:rsid w:val="00CA1F45"/>
    <w:rsid w:val="00CF36A0"/>
    <w:rsid w:val="00D13214"/>
    <w:rsid w:val="00D503AA"/>
    <w:rsid w:val="00D5212D"/>
    <w:rsid w:val="00D52153"/>
    <w:rsid w:val="00D82966"/>
    <w:rsid w:val="00DA6111"/>
    <w:rsid w:val="00DE3923"/>
    <w:rsid w:val="00DF3681"/>
    <w:rsid w:val="00DF4639"/>
    <w:rsid w:val="00E30A4A"/>
    <w:rsid w:val="00E569E2"/>
    <w:rsid w:val="00E63FEC"/>
    <w:rsid w:val="00E83408"/>
    <w:rsid w:val="00E84F6B"/>
    <w:rsid w:val="00EB0414"/>
    <w:rsid w:val="00ED20DA"/>
    <w:rsid w:val="00EF497B"/>
    <w:rsid w:val="00F24071"/>
    <w:rsid w:val="00F250FC"/>
    <w:rsid w:val="00F41202"/>
    <w:rsid w:val="00F73EA4"/>
    <w:rsid w:val="00F81E89"/>
    <w:rsid w:val="00F95ACD"/>
    <w:rsid w:val="00FC3111"/>
    <w:rsid w:val="00FE0623"/>
    <w:rsid w:val="00FE18A1"/>
    <w:rsid w:val="00FE4D53"/>
    <w:rsid w:val="00FE5129"/>
    <w:rsid w:val="00FE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8555D7"/>
  <w15:chartTrackingRefBased/>
  <w15:docId w15:val="{3D3F9E7F-7217-468F-BD91-F8A20A3C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034D"/>
    <w:rPr>
      <w:sz w:val="24"/>
      <w:szCs w:val="24"/>
      <w:lang w:val="fr-FR" w:eastAsia="fr-FR"/>
    </w:rPr>
  </w:style>
  <w:style w:type="paragraph" w:styleId="Heading1">
    <w:name w:val="heading 1"/>
    <w:basedOn w:val="Normal"/>
    <w:qFormat/>
    <w:rsid w:val="005166FE"/>
    <w:pPr>
      <w:keepNext/>
      <w:spacing w:before="240" w:after="240"/>
      <w:jc w:val="center"/>
      <w:outlineLvl w:val="0"/>
    </w:pPr>
    <w:rPr>
      <w:b/>
      <w:bCs/>
      <w:cap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title">
    <w:name w:val="papertitle"/>
    <w:basedOn w:val="Normal"/>
    <w:rsid w:val="005166FE"/>
    <w:pPr>
      <w:spacing w:before="960"/>
      <w:jc w:val="center"/>
    </w:pPr>
    <w:rPr>
      <w:b/>
      <w:bCs/>
      <w:sz w:val="36"/>
      <w:szCs w:val="36"/>
    </w:rPr>
  </w:style>
  <w:style w:type="paragraph" w:customStyle="1" w:styleId="paperauthor">
    <w:name w:val="paperauthor"/>
    <w:basedOn w:val="Normal"/>
    <w:rsid w:val="005166FE"/>
    <w:pPr>
      <w:spacing w:before="360" w:after="360"/>
      <w:jc w:val="center"/>
    </w:pPr>
    <w:rPr>
      <w:sz w:val="28"/>
      <w:szCs w:val="28"/>
    </w:rPr>
  </w:style>
  <w:style w:type="paragraph" w:customStyle="1" w:styleId="authoraffiliation">
    <w:name w:val="authoraffiliation"/>
    <w:basedOn w:val="Normal"/>
    <w:rsid w:val="005166FE"/>
    <w:pPr>
      <w:jc w:val="center"/>
    </w:pPr>
    <w:rPr>
      <w:i/>
      <w:iCs/>
      <w:sz w:val="20"/>
      <w:szCs w:val="20"/>
    </w:rPr>
  </w:style>
  <w:style w:type="paragraph" w:customStyle="1" w:styleId="paragraph">
    <w:name w:val="paragraph"/>
    <w:basedOn w:val="Normal"/>
    <w:rsid w:val="005166FE"/>
    <w:pPr>
      <w:ind w:firstLine="274"/>
      <w:jc w:val="both"/>
    </w:pPr>
    <w:rPr>
      <w:sz w:val="20"/>
      <w:szCs w:val="20"/>
    </w:rPr>
  </w:style>
  <w:style w:type="paragraph" w:customStyle="1" w:styleId="reference">
    <w:name w:val="reference"/>
    <w:basedOn w:val="Normal"/>
    <w:rsid w:val="005166FE"/>
    <w:pPr>
      <w:ind w:left="274" w:hanging="274"/>
      <w:jc w:val="both"/>
    </w:pPr>
    <w:rPr>
      <w:sz w:val="18"/>
      <w:szCs w:val="18"/>
    </w:rPr>
  </w:style>
  <w:style w:type="paragraph" w:customStyle="1" w:styleId="equation">
    <w:name w:val="equation"/>
    <w:basedOn w:val="Normal"/>
    <w:rsid w:val="005166FE"/>
    <w:pPr>
      <w:jc w:val="both"/>
    </w:pPr>
    <w:rPr>
      <w:sz w:val="20"/>
      <w:szCs w:val="20"/>
    </w:rPr>
  </w:style>
  <w:style w:type="character" w:customStyle="1" w:styleId="apple-converted-space">
    <w:name w:val="apple-converted-space"/>
    <w:basedOn w:val="DefaultParagraphFont"/>
    <w:rsid w:val="009E6215"/>
  </w:style>
  <w:style w:type="paragraph" w:styleId="BalloonText">
    <w:name w:val="Balloon Text"/>
    <w:basedOn w:val="Normal"/>
    <w:link w:val="BalloonTextChar"/>
    <w:rsid w:val="00D5212D"/>
    <w:rPr>
      <w:sz w:val="18"/>
      <w:szCs w:val="18"/>
    </w:rPr>
  </w:style>
  <w:style w:type="character" w:customStyle="1" w:styleId="BalloonTextChar">
    <w:name w:val="Balloon Text Char"/>
    <w:link w:val="BalloonText"/>
    <w:rsid w:val="00D5212D"/>
    <w:rPr>
      <w:sz w:val="18"/>
      <w:szCs w:val="18"/>
      <w:lang w:val="fr-FR" w:eastAsia="fr-FR"/>
    </w:rPr>
  </w:style>
  <w:style w:type="paragraph" w:styleId="Revision">
    <w:name w:val="Revision"/>
    <w:hidden/>
    <w:uiPriority w:val="99"/>
    <w:semiHidden/>
    <w:rsid w:val="004A0613"/>
    <w:rPr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unhideWhenUsed/>
    <w:rsid w:val="00EB0414"/>
    <w:pPr>
      <w:spacing w:before="100" w:beforeAutospacing="1" w:after="100" w:afterAutospacing="1"/>
    </w:pPr>
    <w:rPr>
      <w:lang w:val="en-F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FRAISS~1\LOCALS~1\Temp\TEMPLATE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C:\DOCUME~1\FRAISS~1\LOCALS~1\Temp\TEMPLATE3.dot</Template>
  <TotalTime>168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The Title Goes Here With Each Initial Letter Capitalized</vt:lpstr>
      <vt:lpstr>The Title Goes Here With Each Initial Letter Capitalized</vt:lpstr>
    </vt:vector>
  </TitlesOfParts>
  <Company>Synchrotron SOLEIL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Goes Here With Each Initial Letter Capitalized</dc:title>
  <dc:subject/>
  <dc:creator>fraissard</dc:creator>
  <cp:keywords/>
  <dc:description/>
  <cp:lastModifiedBy>Qianyu Deng</cp:lastModifiedBy>
  <cp:revision>100</cp:revision>
  <cp:lastPrinted>1899-12-31T23:50:39Z</cp:lastPrinted>
  <dcterms:created xsi:type="dcterms:W3CDTF">2022-06-13T07:16:00Z</dcterms:created>
  <dcterms:modified xsi:type="dcterms:W3CDTF">2026-09-04T13:09:00Z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0c56dce262fe1adfc29ecb4bd9bf726e2d24546a2d923b2c5c7de764bb09ab8a</vt:lpwstr>
  </property>
</Properties>
</file>