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CBBF3" w14:textId="31742F51" w:rsidR="009F1F41" w:rsidRPr="00F9056B" w:rsidRDefault="008531D1" w:rsidP="006C3A70">
      <w:pPr>
        <w:jc w:val="center"/>
        <w:rPr>
          <w:rFonts w:ascii="Times New Roman" w:hAnsi="Times New Roman" w:cs="Times New Roman"/>
          <w:b/>
          <w:bCs/>
          <w:sz w:val="32"/>
          <w:szCs w:val="28"/>
        </w:rPr>
      </w:pPr>
      <w:r w:rsidRPr="00F9056B">
        <w:rPr>
          <w:rFonts w:ascii="Times New Roman" w:hAnsi="Times New Roman" w:cs="Times New Roman"/>
          <w:b/>
          <w:sz w:val="32"/>
          <w:szCs w:val="28"/>
        </w:rPr>
        <w:t>“</w:t>
      </w:r>
      <w:r w:rsidR="00661474" w:rsidRPr="00F9056B">
        <w:rPr>
          <w:rFonts w:ascii="Times New Roman" w:hAnsi="Times New Roman" w:cs="Times New Roman"/>
          <w:b/>
          <w:sz w:val="32"/>
          <w:szCs w:val="28"/>
        </w:rPr>
        <w:t>Flow Synthesis Meets Crystallography: Understanding How Material Formation Shapes Spin</w:t>
      </w:r>
      <w:r w:rsidR="006C3A70">
        <w:rPr>
          <w:rFonts w:ascii="Times New Roman" w:hAnsi="Times New Roman" w:cs="Times New Roman"/>
          <w:b/>
          <w:sz w:val="32"/>
          <w:szCs w:val="28"/>
        </w:rPr>
        <w:t xml:space="preserve"> </w:t>
      </w:r>
      <w:r w:rsidR="00661474" w:rsidRPr="00F9056B">
        <w:rPr>
          <w:rFonts w:ascii="Times New Roman" w:hAnsi="Times New Roman" w:cs="Times New Roman"/>
          <w:b/>
          <w:sz w:val="32"/>
          <w:szCs w:val="28"/>
        </w:rPr>
        <w:t>Crossover Properties</w:t>
      </w:r>
      <w:r w:rsidRPr="00F9056B">
        <w:rPr>
          <w:rFonts w:ascii="Times New Roman" w:hAnsi="Times New Roman" w:cs="Times New Roman"/>
          <w:b/>
          <w:sz w:val="32"/>
          <w:szCs w:val="28"/>
        </w:rPr>
        <w:t>”</w:t>
      </w:r>
    </w:p>
    <w:p w14:paraId="32C31106" w14:textId="77777777" w:rsidR="009F1F41" w:rsidRPr="00C86863" w:rsidRDefault="009F1F41" w:rsidP="009F1F41">
      <w:pPr>
        <w:jc w:val="center"/>
        <w:rPr>
          <w:rFonts w:ascii="Times New Roman" w:hAnsi="Times New Roman" w:cs="Times New Roman"/>
          <w:b/>
          <w:bCs/>
          <w:sz w:val="32"/>
          <w:szCs w:val="28"/>
          <w:lang w:val="fr-FR"/>
        </w:rPr>
      </w:pPr>
      <w:r w:rsidRPr="00C86863">
        <w:rPr>
          <w:rFonts w:ascii="Times New Roman" w:hAnsi="Times New Roman" w:cs="Times New Roman"/>
          <w:b/>
          <w:szCs w:val="20"/>
          <w:u w:val="single"/>
          <w:lang w:val="fr-FR"/>
        </w:rPr>
        <w:t>A. Bellouard</w:t>
      </w:r>
      <w:r w:rsidRPr="00C86863">
        <w:rPr>
          <w:rFonts w:ascii="Times New Roman" w:hAnsi="Times New Roman" w:cs="Times New Roman"/>
          <w:b/>
          <w:szCs w:val="20"/>
          <w:u w:val="single"/>
          <w:vertAlign w:val="superscript"/>
          <w:lang w:val="fr-FR"/>
        </w:rPr>
        <w:t>1</w:t>
      </w:r>
      <w:r w:rsidRPr="00C86863">
        <w:rPr>
          <w:rFonts w:ascii="Times New Roman" w:hAnsi="Times New Roman" w:cs="Times New Roman"/>
          <w:b/>
          <w:szCs w:val="20"/>
          <w:lang w:val="fr-FR"/>
        </w:rPr>
        <w:t>, N. Daro</w:t>
      </w:r>
      <w:r w:rsidRPr="00C86863">
        <w:rPr>
          <w:rFonts w:ascii="Times New Roman" w:hAnsi="Times New Roman" w:cs="Times New Roman"/>
          <w:b/>
          <w:szCs w:val="20"/>
          <w:vertAlign w:val="superscript"/>
          <w:lang w:val="fr-FR"/>
        </w:rPr>
        <w:t>1</w:t>
      </w:r>
      <w:r w:rsidRPr="00C86863">
        <w:rPr>
          <w:rFonts w:ascii="Times New Roman" w:hAnsi="Times New Roman" w:cs="Times New Roman"/>
          <w:b/>
          <w:szCs w:val="20"/>
          <w:lang w:val="fr-FR"/>
        </w:rPr>
        <w:t>, G. Chastanet</w:t>
      </w:r>
      <w:r w:rsidRPr="00C86863">
        <w:rPr>
          <w:rFonts w:ascii="Times New Roman" w:hAnsi="Times New Roman" w:cs="Times New Roman"/>
          <w:b/>
          <w:szCs w:val="20"/>
          <w:vertAlign w:val="superscript"/>
          <w:lang w:val="fr-FR"/>
        </w:rPr>
        <w:t>1</w:t>
      </w:r>
      <w:r w:rsidRPr="00C86863">
        <w:rPr>
          <w:rFonts w:ascii="Times New Roman" w:hAnsi="Times New Roman" w:cs="Times New Roman"/>
          <w:b/>
          <w:szCs w:val="20"/>
          <w:lang w:val="fr-FR"/>
        </w:rPr>
        <w:t>, P. Rosa</w:t>
      </w:r>
      <w:r w:rsidRPr="00C86863">
        <w:rPr>
          <w:rFonts w:ascii="Times New Roman" w:hAnsi="Times New Roman" w:cs="Times New Roman"/>
          <w:b/>
          <w:szCs w:val="20"/>
          <w:vertAlign w:val="superscript"/>
          <w:lang w:val="fr-FR"/>
        </w:rPr>
        <w:t>1</w:t>
      </w:r>
    </w:p>
    <w:p w14:paraId="0070F26B" w14:textId="5741D09B" w:rsidR="009F1F41" w:rsidRPr="00C86863" w:rsidRDefault="009F1F41" w:rsidP="009F1F41">
      <w:pPr>
        <w:jc w:val="center"/>
        <w:rPr>
          <w:rFonts w:ascii="Times New Roman" w:hAnsi="Times New Roman" w:cs="Times New Roman"/>
          <w:i/>
          <w:szCs w:val="20"/>
          <w:lang w:val="fr-FR"/>
        </w:rPr>
      </w:pPr>
      <w:r w:rsidRPr="00C86863">
        <w:rPr>
          <w:sz w:val="24"/>
          <w:lang w:val="fr-FR"/>
        </w:rPr>
        <w:t xml:space="preserve"> </w:t>
      </w:r>
      <w:r w:rsidRPr="00C86863">
        <w:rPr>
          <w:rFonts w:ascii="Times New Roman" w:hAnsi="Times New Roman" w:cs="Times New Roman"/>
          <w:i/>
          <w:szCs w:val="20"/>
          <w:vertAlign w:val="superscript"/>
          <w:lang w:val="fr-FR"/>
        </w:rPr>
        <w:t>1</w:t>
      </w:r>
      <w:r w:rsidRPr="00C86863">
        <w:rPr>
          <w:rFonts w:ascii="Times New Roman" w:hAnsi="Times New Roman" w:cs="Times New Roman"/>
          <w:i/>
          <w:szCs w:val="20"/>
          <w:lang w:val="fr-FR"/>
        </w:rPr>
        <w:t>ICMCB, Univ. Bordeaux, CNRS,</w:t>
      </w:r>
      <w:r w:rsidR="005D0E79" w:rsidRPr="00C86863">
        <w:rPr>
          <w:rFonts w:ascii="Times New Roman" w:hAnsi="Times New Roman" w:cs="Times New Roman"/>
          <w:i/>
          <w:szCs w:val="20"/>
          <w:lang w:val="fr-FR"/>
        </w:rPr>
        <w:t xml:space="preserve"> </w:t>
      </w:r>
      <w:r w:rsidR="00C4696A" w:rsidRPr="00C86863">
        <w:rPr>
          <w:rFonts w:ascii="Times New Roman" w:hAnsi="Times New Roman" w:cs="Times New Roman"/>
          <w:i/>
          <w:szCs w:val="20"/>
          <w:lang w:val="fr-FR"/>
        </w:rPr>
        <w:t>Bordeaux-</w:t>
      </w:r>
      <w:r w:rsidRPr="00C86863">
        <w:rPr>
          <w:rFonts w:ascii="Times New Roman" w:hAnsi="Times New Roman" w:cs="Times New Roman"/>
          <w:i/>
          <w:szCs w:val="20"/>
          <w:lang w:val="fr-FR"/>
        </w:rPr>
        <w:t xml:space="preserve"> INP, Pessac, France</w:t>
      </w:r>
    </w:p>
    <w:p w14:paraId="0C3F457F" w14:textId="0C90F5DB" w:rsidR="00643C52" w:rsidRPr="006A5A87" w:rsidRDefault="00051B44" w:rsidP="003A741C">
      <w:pPr>
        <w:jc w:val="center"/>
        <w:rPr>
          <w:rFonts w:ascii="Times New Roman" w:hAnsi="Times New Roman" w:cs="Times New Roman"/>
          <w:i/>
          <w:color w:val="0563C1" w:themeColor="hyperlink"/>
          <w:szCs w:val="20"/>
          <w:u w:val="single"/>
          <w:lang w:val="fr-FR"/>
        </w:rPr>
      </w:pPr>
      <w:hyperlink r:id="rId8" w:history="1">
        <w:r w:rsidR="009F1F41" w:rsidRPr="006A5A87">
          <w:rPr>
            <w:rStyle w:val="Lienhypertexte"/>
            <w:rFonts w:ascii="Times New Roman" w:hAnsi="Times New Roman" w:cs="Times New Roman"/>
            <w:i/>
            <w:szCs w:val="20"/>
            <w:lang w:val="fr-FR"/>
          </w:rPr>
          <w:t>antoine.bellouard@icmcb.cnrs.fr</w:t>
        </w:r>
      </w:hyperlink>
    </w:p>
    <w:p w14:paraId="02D1712A" w14:textId="51480540" w:rsidR="00A602F8" w:rsidRPr="00A602F8" w:rsidRDefault="00A602F8">
      <w:pPr>
        <w:spacing w:before="100" w:beforeAutospacing="1" w:after="100" w:afterAutospacing="1" w:line="240" w:lineRule="auto"/>
        <w:jc w:val="both"/>
        <w:rPr>
          <w:rFonts w:ascii="Times New Roman" w:eastAsia="Times New Roman" w:hAnsi="Times New Roman" w:cs="Times New Roman"/>
          <w:szCs w:val="24"/>
          <w:lang w:eastAsia="fr-FR"/>
        </w:rPr>
      </w:pPr>
      <w:r w:rsidRPr="00A602F8">
        <w:rPr>
          <w:rFonts w:ascii="Times New Roman" w:eastAsia="Times New Roman" w:hAnsi="Times New Roman" w:cs="Times New Roman"/>
          <w:szCs w:val="24"/>
          <w:lang w:eastAsia="fr-FR"/>
        </w:rPr>
        <w:t xml:space="preserve">The increasing global demand for cooling technologies represents a major environmental challenge. Recent reports indicate that refrigeration systems account for up to 20% of global electricity consumption and approximately 7.5% of total CO₂ emissions, arising from both energy use and refrigerant leakage [1]. In this context, the development of alternative solid-state cooling technologies is crucial to reduce the environmental impact of current vapor-compression systems. Among emerging solutions, </w:t>
      </w:r>
      <w:proofErr w:type="spellStart"/>
      <w:r w:rsidRPr="00A602F8">
        <w:rPr>
          <w:rFonts w:ascii="Times New Roman" w:eastAsia="Times New Roman" w:hAnsi="Times New Roman" w:cs="Times New Roman"/>
          <w:szCs w:val="24"/>
          <w:lang w:eastAsia="fr-FR"/>
        </w:rPr>
        <w:t>barocaloric</w:t>
      </w:r>
      <w:proofErr w:type="spellEnd"/>
      <w:r w:rsidRPr="00A602F8">
        <w:rPr>
          <w:rFonts w:ascii="Times New Roman" w:eastAsia="Times New Roman" w:hAnsi="Times New Roman" w:cs="Times New Roman"/>
          <w:szCs w:val="24"/>
          <w:lang w:eastAsia="fr-FR"/>
        </w:rPr>
        <w:t xml:space="preserve"> cooling based on mechanocaloric effects [2] has attracted significant attention. Spin</w:t>
      </w:r>
      <w:r w:rsidR="006C3A70">
        <w:rPr>
          <w:rFonts w:ascii="Times New Roman" w:eastAsia="Times New Roman" w:hAnsi="Times New Roman" w:cs="Times New Roman"/>
          <w:szCs w:val="24"/>
          <w:lang w:eastAsia="fr-FR"/>
        </w:rPr>
        <w:t xml:space="preserve"> </w:t>
      </w:r>
      <w:r w:rsidRPr="00A602F8">
        <w:rPr>
          <w:rFonts w:ascii="Times New Roman" w:eastAsia="Times New Roman" w:hAnsi="Times New Roman" w:cs="Times New Roman"/>
          <w:szCs w:val="24"/>
          <w:lang w:eastAsia="fr-FR"/>
        </w:rPr>
        <w:t>crossover (SCO) materials [3], in particular, exhibit large and reversible entropy changes associated with electronic transitions under external stimuli such as temperature or pressure. Their strong coupling between structural, electronic and thermodynamic properties, combined with sensitivity to relatively low pressures, makes them promising candidates for next-generation cooling devices [4].</w:t>
      </w:r>
    </w:p>
    <w:p w14:paraId="37EEFE19" w14:textId="395C3BCF" w:rsidR="00A602F8" w:rsidRPr="00A602F8" w:rsidRDefault="00A602F8" w:rsidP="00EE3972">
      <w:pPr>
        <w:spacing w:before="100" w:beforeAutospacing="1" w:after="100" w:afterAutospacing="1" w:line="240" w:lineRule="auto"/>
        <w:jc w:val="both"/>
        <w:rPr>
          <w:rFonts w:ascii="Times New Roman" w:eastAsia="Times New Roman" w:hAnsi="Times New Roman" w:cs="Times New Roman"/>
          <w:szCs w:val="24"/>
          <w:lang w:eastAsia="fr-FR"/>
        </w:rPr>
      </w:pPr>
      <w:r w:rsidRPr="00A602F8">
        <w:rPr>
          <w:rFonts w:ascii="Times New Roman" w:eastAsia="Times New Roman" w:hAnsi="Times New Roman" w:cs="Times New Roman"/>
          <w:szCs w:val="24"/>
          <w:lang w:eastAsia="fr-FR"/>
        </w:rPr>
        <w:t>However, a major limitation for their technological implementation lies in their synthesis, processing and scale-up. SCO materials are typically obtained as polycrystalline powders through batch precipitation, where the final phase, crystallinity, morphology and particle size can be highly sensitive to the synthesis conditions. Since these structural and microstructural characteristics are directly related to the functional properties of SCO materials, controlling their formation is essential</w:t>
      </w:r>
      <w:r w:rsidR="00EE3972" w:rsidRPr="00EE3972">
        <w:rPr>
          <w:rFonts w:ascii="Times New Roman" w:eastAsia="Times New Roman" w:hAnsi="Times New Roman" w:cs="Times New Roman"/>
          <w:szCs w:val="24"/>
          <w:lang w:eastAsia="fr-FR"/>
        </w:rPr>
        <w:t xml:space="preserve"> [5]</w:t>
      </w:r>
      <w:r w:rsidRPr="00A602F8">
        <w:rPr>
          <w:rFonts w:ascii="Times New Roman" w:eastAsia="Times New Roman" w:hAnsi="Times New Roman" w:cs="Times New Roman"/>
          <w:szCs w:val="24"/>
          <w:lang w:eastAsia="fr-FR"/>
        </w:rPr>
        <w:t>.</w:t>
      </w:r>
    </w:p>
    <w:p w14:paraId="6696D482" w14:textId="549436C2" w:rsidR="00A602F8" w:rsidRPr="006A5A87" w:rsidRDefault="00A602F8" w:rsidP="00EE3972">
      <w:pPr>
        <w:spacing w:before="100" w:beforeAutospacing="1" w:after="100" w:afterAutospacing="1" w:line="240" w:lineRule="auto"/>
        <w:jc w:val="both"/>
        <w:rPr>
          <w:rFonts w:ascii="Times New Roman" w:eastAsia="Times New Roman" w:hAnsi="Times New Roman" w:cs="Times New Roman"/>
          <w:szCs w:val="24"/>
          <w:lang w:eastAsia="fr-FR"/>
        </w:rPr>
      </w:pPr>
      <w:r w:rsidRPr="00A602F8">
        <w:rPr>
          <w:rFonts w:ascii="Times New Roman" w:eastAsia="Times New Roman" w:hAnsi="Times New Roman" w:cs="Times New Roman"/>
          <w:szCs w:val="24"/>
          <w:lang w:eastAsia="fr-FR"/>
        </w:rPr>
        <w:t>In this work, continuous-flow chemistry is explored as a strategy to improve the control and reproducibility of SCO material synthesis. Flow processes enable precise control over parameters such as mixing, residence time, concentration and temperature, providing a means to modify the formation history of the material and its resulting properties</w:t>
      </w:r>
      <w:r w:rsidR="00EE3972" w:rsidRPr="00EE3972">
        <w:rPr>
          <w:rFonts w:ascii="Times New Roman" w:eastAsia="Times New Roman" w:hAnsi="Times New Roman" w:cs="Times New Roman"/>
          <w:szCs w:val="24"/>
          <w:lang w:eastAsia="fr-FR"/>
        </w:rPr>
        <w:t xml:space="preserve"> [6]</w:t>
      </w:r>
      <w:r w:rsidRPr="00A602F8">
        <w:rPr>
          <w:rFonts w:ascii="Times New Roman" w:eastAsia="Times New Roman" w:hAnsi="Times New Roman" w:cs="Times New Roman"/>
          <w:szCs w:val="24"/>
          <w:lang w:eastAsia="fr-FR"/>
        </w:rPr>
        <w:t>. In particular, controlling mixing and residence time offers opportunities to influence nucleation and crystal growth, and consequently the crystallinity and particle characteristics of the resulting powders.</w:t>
      </w:r>
      <w:r w:rsidR="00661474">
        <w:rPr>
          <w:rFonts w:ascii="Times New Roman" w:eastAsia="Times New Roman" w:hAnsi="Times New Roman" w:cs="Times New Roman"/>
          <w:szCs w:val="24"/>
          <w:lang w:eastAsia="fr-FR"/>
        </w:rPr>
        <w:t xml:space="preserve"> </w:t>
      </w:r>
    </w:p>
    <w:p w14:paraId="0E58699E" w14:textId="1BAF5C49" w:rsidR="009F1F41" w:rsidRPr="009669EC" w:rsidRDefault="00A602F8" w:rsidP="009669EC">
      <w:pPr>
        <w:spacing w:before="100" w:beforeAutospacing="1" w:after="100" w:afterAutospacing="1" w:line="240" w:lineRule="auto"/>
        <w:jc w:val="both"/>
        <w:rPr>
          <w:rFonts w:ascii="Times New Roman" w:eastAsia="Times New Roman" w:hAnsi="Times New Roman" w:cs="Times New Roman"/>
          <w:sz w:val="20"/>
          <w:szCs w:val="24"/>
          <w:lang w:eastAsia="fr-FR"/>
        </w:rPr>
      </w:pPr>
      <w:r w:rsidRPr="00EE3972">
        <w:rPr>
          <w:rFonts w:ascii="Times New Roman" w:eastAsia="Times New Roman" w:hAnsi="Times New Roman" w:cs="Times New Roman"/>
          <w:bCs/>
          <w:szCs w:val="24"/>
          <w:lang w:eastAsia="fr-FR"/>
        </w:rPr>
        <w:t>In this context, crystallographic characterization is essential for establishing phase control in the synthesized powders. Powder X-ray diffraction provides a key means of identifying the crystalline phases obtained under different synthesis conditions and of assessing their structural evolution. It therefore provides an essential link between the processing conditions and the final material.</w:t>
      </w:r>
      <w:r w:rsidR="00C86863">
        <w:rPr>
          <w:rFonts w:ascii="Times New Roman" w:eastAsia="Times New Roman" w:hAnsi="Times New Roman" w:cs="Times New Roman"/>
          <w:szCs w:val="24"/>
          <w:lang w:eastAsia="fr-FR"/>
        </w:rPr>
        <w:t xml:space="preserve"> </w:t>
      </w:r>
      <w:r w:rsidRPr="00A602F8">
        <w:rPr>
          <w:rFonts w:ascii="Times New Roman" w:eastAsia="Times New Roman" w:hAnsi="Times New Roman" w:cs="Times New Roman"/>
          <w:szCs w:val="24"/>
          <w:lang w:eastAsia="fr-FR"/>
        </w:rPr>
        <w:t>The present work investigates the relationship between continuous-flow synthesis, crystallographic characteristics and the properties of SCO powders, with the aim of developing a controlled and scalable synthesis strategy for spin</w:t>
      </w:r>
      <w:r w:rsidR="006C3A70">
        <w:rPr>
          <w:rFonts w:ascii="Times New Roman" w:eastAsia="Times New Roman" w:hAnsi="Times New Roman" w:cs="Times New Roman"/>
          <w:szCs w:val="24"/>
          <w:lang w:eastAsia="fr-FR"/>
        </w:rPr>
        <w:t xml:space="preserve"> </w:t>
      </w:r>
      <w:r w:rsidRPr="00A602F8">
        <w:rPr>
          <w:rFonts w:ascii="Times New Roman" w:eastAsia="Times New Roman" w:hAnsi="Times New Roman" w:cs="Times New Roman"/>
          <w:szCs w:val="24"/>
          <w:lang w:eastAsia="fr-FR"/>
        </w:rPr>
        <w:t>crossover materials towards their integration into solid-state cooling technologies</w:t>
      </w:r>
      <w:r w:rsidR="00EE3972">
        <w:rPr>
          <w:rFonts w:ascii="Times New Roman" w:eastAsia="Times New Roman" w:hAnsi="Times New Roman" w:cs="Times New Roman"/>
          <w:szCs w:val="24"/>
          <w:lang w:eastAsia="fr-FR"/>
        </w:rPr>
        <w:t xml:space="preserve"> [7]</w:t>
      </w:r>
      <w:r w:rsidRPr="00A602F8">
        <w:rPr>
          <w:rFonts w:ascii="Times New Roman" w:eastAsia="Times New Roman" w:hAnsi="Times New Roman" w:cs="Times New Roman"/>
          <w:szCs w:val="24"/>
          <w:lang w:eastAsia="fr-FR"/>
        </w:rPr>
        <w:t>.</w:t>
      </w:r>
      <w:bookmarkStart w:id="0" w:name="_Hlk241766927"/>
      <w:r w:rsidR="009F1F41" w:rsidRPr="009669EC">
        <w:rPr>
          <w:rFonts w:ascii="Times New Roman" w:eastAsia="Times New Roman" w:hAnsi="Times New Roman" w:cs="Times New Roman"/>
          <w:sz w:val="18"/>
          <w:szCs w:val="20"/>
        </w:rPr>
        <w:fldChar w:fldCharType="begin"/>
      </w:r>
      <w:r w:rsidR="009F1F41" w:rsidRPr="009669EC">
        <w:rPr>
          <w:rFonts w:ascii="Times New Roman" w:eastAsia="Times New Roman" w:hAnsi="Times New Roman" w:cs="Times New Roman"/>
          <w:sz w:val="18"/>
          <w:szCs w:val="20"/>
        </w:rPr>
        <w:instrText xml:space="preserve"> ADDIN ZOTERO_BIBL {"uncited":[],"omitted":[],"custom":[]} CSL_BIBLIOGRAPHY </w:instrText>
      </w:r>
      <w:r w:rsidR="009F1F41" w:rsidRPr="009669EC">
        <w:rPr>
          <w:rFonts w:ascii="Times New Roman" w:eastAsia="Times New Roman" w:hAnsi="Times New Roman" w:cs="Times New Roman"/>
          <w:sz w:val="18"/>
          <w:szCs w:val="20"/>
        </w:rPr>
        <w:fldChar w:fldCharType="separate"/>
      </w:r>
    </w:p>
    <w:p w14:paraId="17FDA79A" w14:textId="77777777" w:rsidR="00894BA9" w:rsidRPr="009669EC" w:rsidRDefault="00730F87" w:rsidP="009669EC">
      <w:pPr>
        <w:pStyle w:val="NormalWeb"/>
        <w:spacing w:before="0" w:beforeAutospacing="0" w:after="0" w:afterAutospacing="0"/>
        <w:jc w:val="both"/>
        <w:rPr>
          <w:sz w:val="18"/>
          <w:szCs w:val="20"/>
        </w:rPr>
      </w:pPr>
      <w:r w:rsidRPr="009669EC">
        <w:rPr>
          <w:sz w:val="18"/>
          <w:szCs w:val="20"/>
        </w:rPr>
        <w:t>[1]</w:t>
      </w:r>
      <w:r w:rsidRPr="009669EC">
        <w:rPr>
          <w:sz w:val="14"/>
          <w:szCs w:val="20"/>
        </w:rPr>
        <w:t xml:space="preserve"> </w:t>
      </w:r>
      <w:r w:rsidR="00894BA9" w:rsidRPr="009669EC">
        <w:rPr>
          <w:sz w:val="18"/>
        </w:rPr>
        <w:t xml:space="preserve">M. Baha, S. Hammami, J.-L. Dupont, </w:t>
      </w:r>
      <w:r w:rsidR="00894BA9" w:rsidRPr="009669EC">
        <w:rPr>
          <w:rStyle w:val="Accentuation"/>
          <w:sz w:val="18"/>
        </w:rPr>
        <w:t>The Role of Refrigeration in the Global Economy – 3rd Edition, 60th Technical Brief on Refrigeration Technologies</w:t>
      </w:r>
      <w:r w:rsidR="00894BA9" w:rsidRPr="009669EC">
        <w:rPr>
          <w:sz w:val="18"/>
        </w:rPr>
        <w:t xml:space="preserve">, International Institute of Refrigeration (IIR), Paris, </w:t>
      </w:r>
      <w:r w:rsidR="00894BA9" w:rsidRPr="009669EC">
        <w:rPr>
          <w:b/>
          <w:sz w:val="18"/>
        </w:rPr>
        <w:t>2025</w:t>
      </w:r>
      <w:r w:rsidR="00894BA9" w:rsidRPr="009669EC">
        <w:rPr>
          <w:sz w:val="18"/>
        </w:rPr>
        <w:t>.</w:t>
      </w:r>
      <w:r w:rsidR="00894BA9" w:rsidRPr="009669EC">
        <w:rPr>
          <w:sz w:val="14"/>
          <w:szCs w:val="20"/>
        </w:rPr>
        <w:t xml:space="preserve"> </w:t>
      </w:r>
    </w:p>
    <w:p w14:paraId="08B8D191" w14:textId="77777777" w:rsidR="00D61CDD" w:rsidRPr="009669EC" w:rsidRDefault="00730F87" w:rsidP="009669EC">
      <w:pPr>
        <w:pStyle w:val="NormalWeb"/>
        <w:spacing w:before="0" w:beforeAutospacing="0" w:after="0" w:afterAutospacing="0"/>
        <w:jc w:val="both"/>
        <w:rPr>
          <w:sz w:val="18"/>
          <w:szCs w:val="20"/>
        </w:rPr>
      </w:pPr>
      <w:r w:rsidRPr="009669EC">
        <w:rPr>
          <w:sz w:val="18"/>
          <w:szCs w:val="20"/>
        </w:rPr>
        <w:t>[2]</w:t>
      </w:r>
      <w:r w:rsidR="00C2721F" w:rsidRPr="009669EC">
        <w:rPr>
          <w:sz w:val="22"/>
        </w:rPr>
        <w:t xml:space="preserve"> </w:t>
      </w:r>
      <w:r w:rsidR="00C2721F" w:rsidRPr="009669EC">
        <w:rPr>
          <w:sz w:val="18"/>
          <w:szCs w:val="20"/>
        </w:rPr>
        <w:t xml:space="preserve">L. </w:t>
      </w:r>
      <w:proofErr w:type="spellStart"/>
      <w:r w:rsidR="00C2721F" w:rsidRPr="009669EC">
        <w:rPr>
          <w:sz w:val="18"/>
          <w:szCs w:val="20"/>
        </w:rPr>
        <w:t>Mañosa</w:t>
      </w:r>
      <w:proofErr w:type="spellEnd"/>
      <w:r w:rsidR="00C2721F" w:rsidRPr="009669EC">
        <w:rPr>
          <w:sz w:val="18"/>
          <w:szCs w:val="20"/>
        </w:rPr>
        <w:t>, A. Planes,</w:t>
      </w:r>
      <w:r w:rsidR="00C2721F" w:rsidRPr="009669EC">
        <w:rPr>
          <w:i/>
          <w:sz w:val="18"/>
          <w:szCs w:val="20"/>
        </w:rPr>
        <w:t xml:space="preserve"> Solid-state cooling by stress: A perspective, Applied Physics Letters</w:t>
      </w:r>
      <w:r w:rsidR="00C2721F" w:rsidRPr="009669EC">
        <w:rPr>
          <w:sz w:val="18"/>
          <w:szCs w:val="20"/>
        </w:rPr>
        <w:t>, American Institute of Physics, 116, 050501,</w:t>
      </w:r>
      <w:r w:rsidR="00C2721F" w:rsidRPr="009669EC">
        <w:rPr>
          <w:b/>
          <w:sz w:val="18"/>
          <w:szCs w:val="20"/>
        </w:rPr>
        <w:t xml:space="preserve"> 2020</w:t>
      </w:r>
      <w:r w:rsidR="00C2721F" w:rsidRPr="009669EC">
        <w:rPr>
          <w:sz w:val="18"/>
          <w:szCs w:val="20"/>
        </w:rPr>
        <w:t xml:space="preserve">. </w:t>
      </w:r>
    </w:p>
    <w:p w14:paraId="7C7CE359" w14:textId="7EAB3262" w:rsidR="00730F87" w:rsidRPr="009669EC" w:rsidRDefault="00730F87" w:rsidP="009669EC">
      <w:pPr>
        <w:pStyle w:val="NormalWeb"/>
        <w:spacing w:before="0" w:beforeAutospacing="0" w:after="0" w:afterAutospacing="0"/>
        <w:jc w:val="both"/>
        <w:rPr>
          <w:sz w:val="18"/>
          <w:szCs w:val="20"/>
        </w:rPr>
      </w:pPr>
      <w:r w:rsidRPr="009669EC">
        <w:rPr>
          <w:sz w:val="18"/>
          <w:szCs w:val="20"/>
        </w:rPr>
        <w:t xml:space="preserve">[3] P. Gütlich, H. A. Goodwin, </w:t>
      </w:r>
      <w:r w:rsidRPr="009669EC">
        <w:rPr>
          <w:rStyle w:val="Accentuation"/>
          <w:sz w:val="18"/>
          <w:szCs w:val="20"/>
        </w:rPr>
        <w:t>Spin Crossover in Transition Metal Compounds I</w:t>
      </w:r>
      <w:r w:rsidRPr="009669EC">
        <w:rPr>
          <w:sz w:val="18"/>
          <w:szCs w:val="20"/>
        </w:rPr>
        <w:t>, Springer Berlin Heidelberg, Berlin, Heidelberg, pp. 1–47,</w:t>
      </w:r>
      <w:r w:rsidRPr="009669EC">
        <w:rPr>
          <w:b/>
          <w:sz w:val="18"/>
          <w:szCs w:val="20"/>
        </w:rPr>
        <w:t xml:space="preserve"> 2004</w:t>
      </w:r>
      <w:r w:rsidRPr="009669EC">
        <w:rPr>
          <w:sz w:val="18"/>
          <w:szCs w:val="20"/>
        </w:rPr>
        <w:t>.</w:t>
      </w:r>
    </w:p>
    <w:p w14:paraId="5E2AC511" w14:textId="35952205" w:rsidR="00730F87" w:rsidRPr="009669EC" w:rsidRDefault="00730F87" w:rsidP="009669EC">
      <w:pPr>
        <w:pStyle w:val="NormalWeb"/>
        <w:spacing w:before="0" w:beforeAutospacing="0" w:after="0" w:afterAutospacing="0"/>
        <w:jc w:val="both"/>
        <w:rPr>
          <w:sz w:val="18"/>
          <w:szCs w:val="20"/>
        </w:rPr>
      </w:pPr>
      <w:r w:rsidRPr="009669EC">
        <w:rPr>
          <w:sz w:val="18"/>
          <w:szCs w:val="20"/>
        </w:rPr>
        <w:t xml:space="preserve">[4] </w:t>
      </w:r>
      <w:r w:rsidR="00D61CDD" w:rsidRPr="009669EC">
        <w:rPr>
          <w:sz w:val="18"/>
          <w:szCs w:val="20"/>
        </w:rPr>
        <w:t xml:space="preserve">P. M. </w:t>
      </w:r>
      <w:proofErr w:type="spellStart"/>
      <w:r w:rsidR="00D61CDD" w:rsidRPr="009669EC">
        <w:rPr>
          <w:sz w:val="18"/>
          <w:szCs w:val="20"/>
        </w:rPr>
        <w:t>Lloveras</w:t>
      </w:r>
      <w:proofErr w:type="spellEnd"/>
      <w:r w:rsidR="00D61CDD" w:rsidRPr="009669EC">
        <w:rPr>
          <w:sz w:val="18"/>
          <w:szCs w:val="20"/>
        </w:rPr>
        <w:t xml:space="preserve"> </w:t>
      </w:r>
      <w:proofErr w:type="spellStart"/>
      <w:r w:rsidR="00D61CDD" w:rsidRPr="009669EC">
        <w:rPr>
          <w:sz w:val="18"/>
          <w:szCs w:val="20"/>
        </w:rPr>
        <w:t>Muntané</w:t>
      </w:r>
      <w:proofErr w:type="spellEnd"/>
      <w:r w:rsidR="00D61CDD" w:rsidRPr="009669EC">
        <w:rPr>
          <w:sz w:val="18"/>
          <w:szCs w:val="20"/>
        </w:rPr>
        <w:t xml:space="preserve">, J. L. </w:t>
      </w:r>
      <w:proofErr w:type="spellStart"/>
      <w:r w:rsidR="00D61CDD" w:rsidRPr="009669EC">
        <w:rPr>
          <w:sz w:val="18"/>
          <w:szCs w:val="20"/>
        </w:rPr>
        <w:t>Tamarit</w:t>
      </w:r>
      <w:proofErr w:type="spellEnd"/>
      <w:r w:rsidR="00D61CDD" w:rsidRPr="009669EC">
        <w:rPr>
          <w:sz w:val="18"/>
          <w:szCs w:val="20"/>
        </w:rPr>
        <w:t xml:space="preserve"> Mur,</w:t>
      </w:r>
      <w:r w:rsidR="00D61CDD" w:rsidRPr="009669EC">
        <w:rPr>
          <w:i/>
          <w:sz w:val="18"/>
          <w:szCs w:val="20"/>
        </w:rPr>
        <w:t xml:space="preserve"> Advances and obstacles in pressure-driven solid-state cooling: A review of </w:t>
      </w:r>
      <w:proofErr w:type="spellStart"/>
      <w:r w:rsidR="00D61CDD" w:rsidRPr="009669EC">
        <w:rPr>
          <w:i/>
          <w:sz w:val="18"/>
          <w:szCs w:val="20"/>
        </w:rPr>
        <w:t>barocaloric</w:t>
      </w:r>
      <w:proofErr w:type="spellEnd"/>
      <w:r w:rsidR="00D61CDD" w:rsidRPr="009669EC">
        <w:rPr>
          <w:i/>
          <w:sz w:val="18"/>
          <w:szCs w:val="20"/>
        </w:rPr>
        <w:t xml:space="preserve"> materials, MRS Energy &amp; Sustainability</w:t>
      </w:r>
      <w:r w:rsidR="00D61CDD" w:rsidRPr="009669EC">
        <w:rPr>
          <w:sz w:val="18"/>
          <w:szCs w:val="20"/>
        </w:rPr>
        <w:t xml:space="preserve">, Springer, 8, 3–15, </w:t>
      </w:r>
      <w:r w:rsidR="00D61CDD" w:rsidRPr="009669EC">
        <w:rPr>
          <w:b/>
          <w:sz w:val="18"/>
          <w:szCs w:val="20"/>
        </w:rPr>
        <w:t>2021</w:t>
      </w:r>
      <w:r w:rsidR="00D61CDD" w:rsidRPr="009669EC">
        <w:rPr>
          <w:sz w:val="18"/>
          <w:szCs w:val="20"/>
        </w:rPr>
        <w:t>.</w:t>
      </w:r>
    </w:p>
    <w:p w14:paraId="29D70135" w14:textId="77777777" w:rsidR="00730F87" w:rsidRPr="009669EC" w:rsidRDefault="00730F87" w:rsidP="009669EC">
      <w:pPr>
        <w:pStyle w:val="NormalWeb"/>
        <w:spacing w:before="0" w:beforeAutospacing="0" w:after="0" w:afterAutospacing="0"/>
        <w:jc w:val="both"/>
        <w:rPr>
          <w:sz w:val="18"/>
          <w:szCs w:val="20"/>
        </w:rPr>
      </w:pPr>
      <w:r w:rsidRPr="009669EC">
        <w:rPr>
          <w:sz w:val="18"/>
          <w:szCs w:val="20"/>
        </w:rPr>
        <w:t xml:space="preserve">[5] P. Guionneau, E. Collet, </w:t>
      </w:r>
      <w:r w:rsidRPr="009669EC">
        <w:rPr>
          <w:rStyle w:val="Accentuation"/>
          <w:sz w:val="18"/>
          <w:szCs w:val="20"/>
        </w:rPr>
        <w:t>Spin-Crossover Materials</w:t>
      </w:r>
      <w:r w:rsidRPr="009669EC">
        <w:rPr>
          <w:sz w:val="18"/>
          <w:szCs w:val="20"/>
        </w:rPr>
        <w:t xml:space="preserve">, Wiley, pp. 507–526, </w:t>
      </w:r>
      <w:r w:rsidRPr="009669EC">
        <w:rPr>
          <w:b/>
          <w:sz w:val="18"/>
          <w:szCs w:val="20"/>
        </w:rPr>
        <w:t>2013</w:t>
      </w:r>
      <w:r w:rsidRPr="009669EC">
        <w:rPr>
          <w:sz w:val="18"/>
          <w:szCs w:val="20"/>
        </w:rPr>
        <w:t>.</w:t>
      </w:r>
    </w:p>
    <w:p w14:paraId="04F72CFF" w14:textId="77777777" w:rsidR="009669EC" w:rsidRPr="009669EC" w:rsidRDefault="00730F87" w:rsidP="009669EC">
      <w:pPr>
        <w:pStyle w:val="NormalWeb"/>
        <w:spacing w:before="0" w:beforeAutospacing="0" w:after="0" w:afterAutospacing="0"/>
        <w:jc w:val="both"/>
        <w:rPr>
          <w:sz w:val="18"/>
          <w:szCs w:val="20"/>
        </w:rPr>
      </w:pPr>
      <w:r w:rsidRPr="009669EC">
        <w:rPr>
          <w:sz w:val="18"/>
          <w:szCs w:val="20"/>
        </w:rPr>
        <w:t xml:space="preserve">[6] C. J. Denis, C. J. Tighe, R. I. Gruar, N. M. Makwana, J. A. Darr, </w:t>
      </w:r>
      <w:r w:rsidRPr="009669EC">
        <w:rPr>
          <w:rStyle w:val="Accentuation"/>
          <w:sz w:val="18"/>
          <w:szCs w:val="20"/>
        </w:rPr>
        <w:t>Nucleation and Growth of Cobalt Oxide Nanoparticles in a Continuous Hydrothermal Reactor under Laminar and Turbulent Flow</w:t>
      </w:r>
      <w:r w:rsidRPr="009669EC">
        <w:rPr>
          <w:sz w:val="18"/>
          <w:szCs w:val="20"/>
        </w:rPr>
        <w:t xml:space="preserve">, </w:t>
      </w:r>
      <w:r w:rsidRPr="009669EC">
        <w:rPr>
          <w:rStyle w:val="Accentuation"/>
          <w:sz w:val="18"/>
          <w:szCs w:val="20"/>
        </w:rPr>
        <w:t>Crystal Growth &amp; Design</w:t>
      </w:r>
      <w:r w:rsidRPr="009669EC">
        <w:rPr>
          <w:sz w:val="18"/>
          <w:szCs w:val="20"/>
        </w:rPr>
        <w:t xml:space="preserve">, American Chemical Society, 15, 4256–4265, </w:t>
      </w:r>
      <w:r w:rsidRPr="009669EC">
        <w:rPr>
          <w:b/>
          <w:sz w:val="18"/>
          <w:szCs w:val="20"/>
        </w:rPr>
        <w:t>2015</w:t>
      </w:r>
      <w:r w:rsidRPr="009669EC">
        <w:rPr>
          <w:sz w:val="18"/>
          <w:szCs w:val="20"/>
        </w:rPr>
        <w:t>.</w:t>
      </w:r>
      <w:r w:rsidR="009F1F41" w:rsidRPr="009669EC">
        <w:rPr>
          <w:sz w:val="18"/>
          <w:szCs w:val="20"/>
        </w:rPr>
        <w:fldChar w:fldCharType="end"/>
      </w:r>
    </w:p>
    <w:p w14:paraId="21C2E946" w14:textId="3406D3C6" w:rsidR="00EE3972" w:rsidRPr="009669EC" w:rsidRDefault="00EE3972" w:rsidP="009669EC">
      <w:pPr>
        <w:pStyle w:val="NormalWeb"/>
        <w:spacing w:before="0" w:beforeAutospacing="0" w:after="0" w:afterAutospacing="0"/>
        <w:jc w:val="both"/>
        <w:rPr>
          <w:sz w:val="18"/>
          <w:szCs w:val="20"/>
        </w:rPr>
      </w:pPr>
      <w:r w:rsidRPr="009669EC">
        <w:rPr>
          <w:sz w:val="18"/>
          <w:szCs w:val="20"/>
        </w:rPr>
        <w:t>[7]</w:t>
      </w:r>
      <w:r w:rsidRPr="009669EC">
        <w:rPr>
          <w:sz w:val="22"/>
        </w:rPr>
        <w:t xml:space="preserve"> </w:t>
      </w:r>
      <w:r w:rsidRPr="009669EC">
        <w:rPr>
          <w:sz w:val="18"/>
        </w:rPr>
        <w:t xml:space="preserve">N. </w:t>
      </w:r>
      <w:proofErr w:type="spellStart"/>
      <w:r w:rsidRPr="009669EC">
        <w:rPr>
          <w:sz w:val="18"/>
        </w:rPr>
        <w:t>Daro</w:t>
      </w:r>
      <w:proofErr w:type="spellEnd"/>
      <w:r w:rsidRPr="009669EC">
        <w:rPr>
          <w:sz w:val="18"/>
        </w:rPr>
        <w:t xml:space="preserve">, T. </w:t>
      </w:r>
      <w:proofErr w:type="spellStart"/>
      <w:r w:rsidRPr="009669EC">
        <w:rPr>
          <w:sz w:val="18"/>
        </w:rPr>
        <w:t>Vaudel</w:t>
      </w:r>
      <w:proofErr w:type="spellEnd"/>
      <w:r w:rsidRPr="009669EC">
        <w:rPr>
          <w:sz w:val="18"/>
        </w:rPr>
        <w:t xml:space="preserve">, L. </w:t>
      </w:r>
      <w:proofErr w:type="spellStart"/>
      <w:r w:rsidRPr="009669EC">
        <w:rPr>
          <w:sz w:val="18"/>
        </w:rPr>
        <w:t>Afindouli</w:t>
      </w:r>
      <w:proofErr w:type="spellEnd"/>
      <w:r w:rsidRPr="009669EC">
        <w:rPr>
          <w:sz w:val="18"/>
        </w:rPr>
        <w:t xml:space="preserve">, G. </w:t>
      </w:r>
      <w:proofErr w:type="spellStart"/>
      <w:r w:rsidRPr="009669EC">
        <w:rPr>
          <w:sz w:val="18"/>
        </w:rPr>
        <w:t>Chastanet</w:t>
      </w:r>
      <w:proofErr w:type="spellEnd"/>
      <w:r w:rsidRPr="009669EC">
        <w:rPr>
          <w:sz w:val="18"/>
        </w:rPr>
        <w:t xml:space="preserve">, </w:t>
      </w:r>
      <w:r w:rsidRPr="009669EC">
        <w:rPr>
          <w:rStyle w:val="Accentuation"/>
          <w:sz w:val="18"/>
        </w:rPr>
        <w:t>One-Step Synthesis of Spin Crossover Nanoparticles Using Flow Chemistry and Supercritical CO₂</w:t>
      </w:r>
      <w:r w:rsidRPr="009669EC">
        <w:rPr>
          <w:sz w:val="18"/>
        </w:rPr>
        <w:t xml:space="preserve">, </w:t>
      </w:r>
      <w:r w:rsidRPr="009669EC">
        <w:rPr>
          <w:rStyle w:val="Accentuation"/>
          <w:sz w:val="18"/>
        </w:rPr>
        <w:t>Chemistry – A European Journal</w:t>
      </w:r>
      <w:r w:rsidRPr="009669EC">
        <w:rPr>
          <w:sz w:val="18"/>
        </w:rPr>
        <w:t xml:space="preserve">, Wiley, 26, </w:t>
      </w:r>
      <w:r w:rsidRPr="009669EC">
        <w:rPr>
          <w:b/>
          <w:sz w:val="18"/>
        </w:rPr>
        <w:t>2020</w:t>
      </w:r>
      <w:r w:rsidRPr="009669EC">
        <w:rPr>
          <w:sz w:val="18"/>
        </w:rPr>
        <w:t>.</w:t>
      </w:r>
      <w:bookmarkStart w:id="1" w:name="_GoBack"/>
      <w:bookmarkEnd w:id="0"/>
      <w:bookmarkEnd w:id="1"/>
    </w:p>
    <w:sectPr w:rsidR="00EE3972" w:rsidRPr="009669EC" w:rsidSect="00DF614C">
      <w:footerReference w:type="default" r:id="rId9"/>
      <w:pgSz w:w="11906" w:h="16838"/>
      <w:pgMar w:top="1134" w:right="1418" w:bottom="1134" w:left="1418"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FD3498" w14:textId="77777777" w:rsidR="00051B44" w:rsidRDefault="00051B44" w:rsidP="00D9537E">
      <w:pPr>
        <w:spacing w:after="0" w:line="240" w:lineRule="auto"/>
      </w:pPr>
      <w:r>
        <w:separator/>
      </w:r>
    </w:p>
  </w:endnote>
  <w:endnote w:type="continuationSeparator" w:id="0">
    <w:p w14:paraId="4B40494A" w14:textId="77777777" w:rsidR="00051B44" w:rsidRDefault="00051B44" w:rsidP="00D953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668092" w14:textId="1AA462AD" w:rsidR="00D9537E" w:rsidRPr="006A5A87" w:rsidRDefault="00D9537E" w:rsidP="00C86863">
    <w:pPr>
      <w:pStyle w:val="NormalWeb"/>
      <w:jc w:val="both"/>
      <w:rPr>
        <w:i/>
        <w:sz w:val="20"/>
        <w:szCs w:val="20"/>
      </w:rPr>
    </w:pPr>
    <w:r w:rsidRPr="006A5A87">
      <w:rPr>
        <w:i/>
        <w:sz w:val="20"/>
        <w:szCs w:val="20"/>
      </w:rPr>
      <w:t>Gratefully acknowledge funding from the European Innovation Council Pathfinder Challenge Clean and Efficient Cooling under the FROSTBIT project (Grant Agreement No. 101161137).</w:t>
    </w:r>
    <w:r w:rsidR="00C86863" w:rsidRPr="006A5A87">
      <w:rPr>
        <w:i/>
        <w:sz w:val="20"/>
        <w:szCs w:val="20"/>
      </w:rPr>
      <w:t xml:space="preserve"> </w:t>
    </w:r>
    <w:r w:rsidR="00C86863" w:rsidRPr="006A5A87">
      <w:rPr>
        <w:i/>
        <w:sz w:val="20"/>
        <w:szCs w:val="20"/>
      </w:rPr>
      <w:br/>
      <w:t>We warmly thank Anthony Chiron for his invaluable expertise, constructive discussions, and guidance in the design and safe development of the continuous-flow experimental setup.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F671D" w14:textId="77777777" w:rsidR="00051B44" w:rsidRDefault="00051B44" w:rsidP="00D9537E">
      <w:pPr>
        <w:spacing w:after="0" w:line="240" w:lineRule="auto"/>
      </w:pPr>
      <w:r>
        <w:separator/>
      </w:r>
    </w:p>
  </w:footnote>
  <w:footnote w:type="continuationSeparator" w:id="0">
    <w:p w14:paraId="2675A53C" w14:textId="77777777" w:rsidR="00051B44" w:rsidRDefault="00051B44" w:rsidP="00D953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FC3548"/>
    <w:multiLevelType w:val="hybridMultilevel"/>
    <w:tmpl w:val="0E286D96"/>
    <w:lvl w:ilvl="0" w:tplc="A89622F2">
      <w:start w:val="1"/>
      <w:numFmt w:val="upperLetter"/>
      <w:lvlText w:val="%1."/>
      <w:lvlJc w:val="left"/>
      <w:pPr>
        <w:ind w:left="720" w:hanging="360"/>
      </w:pPr>
      <w:rPr>
        <w:rFonts w:hint="default"/>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5F8C3CD0"/>
    <w:multiLevelType w:val="hybridMultilevel"/>
    <w:tmpl w:val="F294B00A"/>
    <w:lvl w:ilvl="0" w:tplc="81A28B14">
      <w:start w:val="1"/>
      <w:numFmt w:val="upperLetter"/>
      <w:lvlText w:val="%1."/>
      <w:lvlJc w:val="left"/>
      <w:pPr>
        <w:ind w:left="1440" w:hanging="360"/>
      </w:pPr>
      <w:rPr>
        <w:rFonts w:hint="default"/>
        <w:u w:val="single"/>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15:restartNumberingAfterBreak="0">
    <w:nsid w:val="7BCB6640"/>
    <w:multiLevelType w:val="hybridMultilevel"/>
    <w:tmpl w:val="A2FC10FA"/>
    <w:lvl w:ilvl="0" w:tplc="12826212">
      <w:start w:val="1"/>
      <w:numFmt w:val="upperLetter"/>
      <w:lvlText w:val="%1."/>
      <w:lvlJc w:val="left"/>
      <w:pPr>
        <w:ind w:left="1080" w:hanging="360"/>
      </w:pPr>
      <w:rPr>
        <w:rFonts w:hint="default"/>
        <w:u w:val="single"/>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F41"/>
    <w:rsid w:val="00051B44"/>
    <w:rsid w:val="00053E6B"/>
    <w:rsid w:val="000933DF"/>
    <w:rsid w:val="000C4FA5"/>
    <w:rsid w:val="000C5839"/>
    <w:rsid w:val="0014071E"/>
    <w:rsid w:val="001A501E"/>
    <w:rsid w:val="001D0653"/>
    <w:rsid w:val="00213BCB"/>
    <w:rsid w:val="00237E07"/>
    <w:rsid w:val="002C076A"/>
    <w:rsid w:val="002F60BD"/>
    <w:rsid w:val="003665C6"/>
    <w:rsid w:val="00396947"/>
    <w:rsid w:val="003A505F"/>
    <w:rsid w:val="003A741C"/>
    <w:rsid w:val="004706EF"/>
    <w:rsid w:val="00485201"/>
    <w:rsid w:val="00493A49"/>
    <w:rsid w:val="004D01B4"/>
    <w:rsid w:val="004D749F"/>
    <w:rsid w:val="005D0E79"/>
    <w:rsid w:val="006239F8"/>
    <w:rsid w:val="00643C52"/>
    <w:rsid w:val="00661474"/>
    <w:rsid w:val="006968D5"/>
    <w:rsid w:val="006A5A87"/>
    <w:rsid w:val="006B277A"/>
    <w:rsid w:val="006B291F"/>
    <w:rsid w:val="006C3A70"/>
    <w:rsid w:val="006E36A8"/>
    <w:rsid w:val="00730F87"/>
    <w:rsid w:val="00753638"/>
    <w:rsid w:val="007E1539"/>
    <w:rsid w:val="008531D1"/>
    <w:rsid w:val="00894BA9"/>
    <w:rsid w:val="00955411"/>
    <w:rsid w:val="009669EC"/>
    <w:rsid w:val="00982BF4"/>
    <w:rsid w:val="009F1F41"/>
    <w:rsid w:val="00A602F8"/>
    <w:rsid w:val="00A70906"/>
    <w:rsid w:val="00A7354A"/>
    <w:rsid w:val="00AB2C2D"/>
    <w:rsid w:val="00BC1AB3"/>
    <w:rsid w:val="00C2721F"/>
    <w:rsid w:val="00C4696A"/>
    <w:rsid w:val="00C86863"/>
    <w:rsid w:val="00D03AA3"/>
    <w:rsid w:val="00D61CDD"/>
    <w:rsid w:val="00D9537E"/>
    <w:rsid w:val="00DF614C"/>
    <w:rsid w:val="00E8182A"/>
    <w:rsid w:val="00EC606A"/>
    <w:rsid w:val="00EE3972"/>
    <w:rsid w:val="00EE6AE1"/>
    <w:rsid w:val="00EF4A88"/>
    <w:rsid w:val="00F272F2"/>
    <w:rsid w:val="00F82764"/>
    <w:rsid w:val="00F9056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E07667"/>
  <w15:chartTrackingRefBased/>
  <w15:docId w15:val="{73E5B4E5-ECC5-4B0B-B003-B0C488C87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1F41"/>
    <w:rPr>
      <w:lang w:val="en-US"/>
    </w:rPr>
  </w:style>
  <w:style w:type="paragraph" w:styleId="Titre1">
    <w:name w:val="heading 1"/>
    <w:basedOn w:val="Normal"/>
    <w:next w:val="Normal"/>
    <w:link w:val="Titre1Car"/>
    <w:uiPriority w:val="9"/>
    <w:qFormat/>
    <w:rsid w:val="009F1F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Bibliographie">
    <w:name w:val="Bibliography"/>
    <w:basedOn w:val="Normal"/>
    <w:next w:val="Normal"/>
    <w:uiPriority w:val="37"/>
    <w:unhideWhenUsed/>
    <w:rsid w:val="009F1F41"/>
  </w:style>
  <w:style w:type="paragraph" w:styleId="NormalWeb">
    <w:name w:val="Normal (Web)"/>
    <w:basedOn w:val="Normal"/>
    <w:uiPriority w:val="99"/>
    <w:unhideWhenUsed/>
    <w:rsid w:val="009F1F41"/>
    <w:pPr>
      <w:spacing w:before="100" w:beforeAutospacing="1" w:after="100" w:afterAutospacing="1" w:line="240" w:lineRule="auto"/>
    </w:pPr>
    <w:rPr>
      <w:rFonts w:ascii="Times New Roman" w:eastAsia="Times New Roman" w:hAnsi="Times New Roman" w:cs="Times New Roman"/>
      <w:sz w:val="24"/>
      <w:szCs w:val="24"/>
    </w:rPr>
  </w:style>
  <w:style w:type="character" w:styleId="Lienhypertexte">
    <w:name w:val="Hyperlink"/>
    <w:basedOn w:val="Policepardfaut"/>
    <w:uiPriority w:val="99"/>
    <w:unhideWhenUsed/>
    <w:rsid w:val="009F1F41"/>
    <w:rPr>
      <w:color w:val="0563C1" w:themeColor="hyperlink"/>
      <w:u w:val="single"/>
    </w:rPr>
  </w:style>
  <w:style w:type="character" w:customStyle="1" w:styleId="Mentionnonrsolue1">
    <w:name w:val="Mention non résolue1"/>
    <w:basedOn w:val="Policepardfaut"/>
    <w:uiPriority w:val="99"/>
    <w:semiHidden/>
    <w:unhideWhenUsed/>
    <w:rsid w:val="009F1F41"/>
    <w:rPr>
      <w:color w:val="605E5C"/>
      <w:shd w:val="clear" w:color="auto" w:fill="E1DFDD"/>
    </w:rPr>
  </w:style>
  <w:style w:type="character" w:customStyle="1" w:styleId="Titre1Car">
    <w:name w:val="Titre 1 Car"/>
    <w:basedOn w:val="Policepardfaut"/>
    <w:link w:val="Titre1"/>
    <w:uiPriority w:val="9"/>
    <w:rsid w:val="009F1F41"/>
    <w:rPr>
      <w:rFonts w:asciiTheme="majorHAnsi" w:eastAsiaTheme="majorEastAsia" w:hAnsiTheme="majorHAnsi" w:cstheme="majorBidi"/>
      <w:color w:val="2F5496" w:themeColor="accent1" w:themeShade="BF"/>
      <w:sz w:val="32"/>
      <w:szCs w:val="32"/>
      <w:lang w:val="en-US"/>
    </w:rPr>
  </w:style>
  <w:style w:type="paragraph" w:styleId="Paragraphedeliste">
    <w:name w:val="List Paragraph"/>
    <w:basedOn w:val="Normal"/>
    <w:uiPriority w:val="34"/>
    <w:qFormat/>
    <w:rsid w:val="009F1F41"/>
    <w:pPr>
      <w:ind w:left="720"/>
      <w:contextualSpacing/>
    </w:pPr>
  </w:style>
  <w:style w:type="character" w:styleId="Accentuation">
    <w:name w:val="Emphasis"/>
    <w:basedOn w:val="Policepardfaut"/>
    <w:uiPriority w:val="20"/>
    <w:qFormat/>
    <w:rsid w:val="004706EF"/>
    <w:rPr>
      <w:i/>
      <w:iCs/>
    </w:rPr>
  </w:style>
  <w:style w:type="character" w:styleId="Marquedecommentaire">
    <w:name w:val="annotation reference"/>
    <w:basedOn w:val="Policepardfaut"/>
    <w:uiPriority w:val="99"/>
    <w:semiHidden/>
    <w:unhideWhenUsed/>
    <w:rsid w:val="00730F87"/>
    <w:rPr>
      <w:sz w:val="16"/>
      <w:szCs w:val="16"/>
    </w:rPr>
  </w:style>
  <w:style w:type="paragraph" w:styleId="Commentaire">
    <w:name w:val="annotation text"/>
    <w:basedOn w:val="Normal"/>
    <w:link w:val="CommentaireCar"/>
    <w:uiPriority w:val="99"/>
    <w:semiHidden/>
    <w:unhideWhenUsed/>
    <w:rsid w:val="00730F87"/>
    <w:pPr>
      <w:spacing w:line="240" w:lineRule="auto"/>
    </w:pPr>
    <w:rPr>
      <w:sz w:val="20"/>
      <w:szCs w:val="20"/>
    </w:rPr>
  </w:style>
  <w:style w:type="character" w:customStyle="1" w:styleId="CommentaireCar">
    <w:name w:val="Commentaire Car"/>
    <w:basedOn w:val="Policepardfaut"/>
    <w:link w:val="Commentaire"/>
    <w:uiPriority w:val="99"/>
    <w:semiHidden/>
    <w:rsid w:val="00730F87"/>
    <w:rPr>
      <w:sz w:val="20"/>
      <w:szCs w:val="20"/>
      <w:lang w:val="en-US"/>
    </w:rPr>
  </w:style>
  <w:style w:type="paragraph" w:styleId="Objetducommentaire">
    <w:name w:val="annotation subject"/>
    <w:basedOn w:val="Commentaire"/>
    <w:next w:val="Commentaire"/>
    <w:link w:val="ObjetducommentaireCar"/>
    <w:uiPriority w:val="99"/>
    <w:semiHidden/>
    <w:unhideWhenUsed/>
    <w:rsid w:val="00730F87"/>
    <w:rPr>
      <w:b/>
      <w:bCs/>
    </w:rPr>
  </w:style>
  <w:style w:type="character" w:customStyle="1" w:styleId="ObjetducommentaireCar">
    <w:name w:val="Objet du commentaire Car"/>
    <w:basedOn w:val="CommentaireCar"/>
    <w:link w:val="Objetducommentaire"/>
    <w:uiPriority w:val="99"/>
    <w:semiHidden/>
    <w:rsid w:val="00730F87"/>
    <w:rPr>
      <w:b/>
      <w:bCs/>
      <w:sz w:val="20"/>
      <w:szCs w:val="20"/>
      <w:lang w:val="en-US"/>
    </w:rPr>
  </w:style>
  <w:style w:type="paragraph" w:styleId="Textedebulles">
    <w:name w:val="Balloon Text"/>
    <w:basedOn w:val="Normal"/>
    <w:link w:val="TextedebullesCar"/>
    <w:uiPriority w:val="99"/>
    <w:semiHidden/>
    <w:unhideWhenUsed/>
    <w:rsid w:val="00730F8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30F87"/>
    <w:rPr>
      <w:rFonts w:ascii="Segoe UI" w:hAnsi="Segoe UI" w:cs="Segoe UI"/>
      <w:sz w:val="18"/>
      <w:szCs w:val="18"/>
      <w:lang w:val="en-US"/>
    </w:rPr>
  </w:style>
  <w:style w:type="paragraph" w:styleId="En-tte">
    <w:name w:val="header"/>
    <w:basedOn w:val="Normal"/>
    <w:link w:val="En-tteCar"/>
    <w:uiPriority w:val="99"/>
    <w:unhideWhenUsed/>
    <w:rsid w:val="00D9537E"/>
    <w:pPr>
      <w:tabs>
        <w:tab w:val="center" w:pos="4536"/>
        <w:tab w:val="right" w:pos="9072"/>
      </w:tabs>
      <w:spacing w:after="0" w:line="240" w:lineRule="auto"/>
    </w:pPr>
  </w:style>
  <w:style w:type="character" w:customStyle="1" w:styleId="En-tteCar">
    <w:name w:val="En-tête Car"/>
    <w:basedOn w:val="Policepardfaut"/>
    <w:link w:val="En-tte"/>
    <w:uiPriority w:val="99"/>
    <w:rsid w:val="00D9537E"/>
    <w:rPr>
      <w:lang w:val="en-US"/>
    </w:rPr>
  </w:style>
  <w:style w:type="paragraph" w:styleId="Pieddepage">
    <w:name w:val="footer"/>
    <w:basedOn w:val="Normal"/>
    <w:link w:val="PieddepageCar"/>
    <w:uiPriority w:val="99"/>
    <w:unhideWhenUsed/>
    <w:rsid w:val="00D9537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9537E"/>
    <w:rPr>
      <w:lang w:val="en-US"/>
    </w:rPr>
  </w:style>
  <w:style w:type="paragraph" w:customStyle="1" w:styleId="pdq2pgselectionanchorcontainer">
    <w:name w:val="pdq2pg_selectionanchorcontainer"/>
    <w:basedOn w:val="Normal"/>
    <w:rsid w:val="00A602F8"/>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lev">
    <w:name w:val="Strong"/>
    <w:basedOn w:val="Policepardfaut"/>
    <w:uiPriority w:val="22"/>
    <w:qFormat/>
    <w:rsid w:val="00A602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3787308">
      <w:bodyDiv w:val="1"/>
      <w:marLeft w:val="0"/>
      <w:marRight w:val="0"/>
      <w:marTop w:val="0"/>
      <w:marBottom w:val="0"/>
      <w:divBdr>
        <w:top w:val="none" w:sz="0" w:space="0" w:color="auto"/>
        <w:left w:val="none" w:sz="0" w:space="0" w:color="auto"/>
        <w:bottom w:val="none" w:sz="0" w:space="0" w:color="auto"/>
        <w:right w:val="none" w:sz="0" w:space="0" w:color="auto"/>
      </w:divBdr>
    </w:div>
    <w:div w:id="843907736">
      <w:bodyDiv w:val="1"/>
      <w:marLeft w:val="0"/>
      <w:marRight w:val="0"/>
      <w:marTop w:val="0"/>
      <w:marBottom w:val="0"/>
      <w:divBdr>
        <w:top w:val="none" w:sz="0" w:space="0" w:color="auto"/>
        <w:left w:val="none" w:sz="0" w:space="0" w:color="auto"/>
        <w:bottom w:val="none" w:sz="0" w:space="0" w:color="auto"/>
        <w:right w:val="none" w:sz="0" w:space="0" w:color="auto"/>
      </w:divBdr>
    </w:div>
    <w:div w:id="1444348208">
      <w:bodyDiv w:val="1"/>
      <w:marLeft w:val="0"/>
      <w:marRight w:val="0"/>
      <w:marTop w:val="0"/>
      <w:marBottom w:val="0"/>
      <w:divBdr>
        <w:top w:val="none" w:sz="0" w:space="0" w:color="auto"/>
        <w:left w:val="none" w:sz="0" w:space="0" w:color="auto"/>
        <w:bottom w:val="none" w:sz="0" w:space="0" w:color="auto"/>
        <w:right w:val="none" w:sz="0" w:space="0" w:color="auto"/>
      </w:divBdr>
    </w:div>
    <w:div w:id="1875312927">
      <w:bodyDiv w:val="1"/>
      <w:marLeft w:val="0"/>
      <w:marRight w:val="0"/>
      <w:marTop w:val="0"/>
      <w:marBottom w:val="0"/>
      <w:divBdr>
        <w:top w:val="none" w:sz="0" w:space="0" w:color="auto"/>
        <w:left w:val="none" w:sz="0" w:space="0" w:color="auto"/>
        <w:bottom w:val="none" w:sz="0" w:space="0" w:color="auto"/>
        <w:right w:val="none" w:sz="0" w:space="0" w:color="auto"/>
      </w:divBdr>
    </w:div>
    <w:div w:id="193370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toine.bellouard@icmcb.cnrs.f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495ED-34D7-4A74-8784-69BA8026E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678</Words>
  <Characters>3734</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Bellouard</dc:creator>
  <cp:keywords/>
  <dc:description/>
  <cp:lastModifiedBy>Antoine Bellouard</cp:lastModifiedBy>
  <cp:revision>5</cp:revision>
  <dcterms:created xsi:type="dcterms:W3CDTF">2026-10-01T14:56:00Z</dcterms:created>
  <dcterms:modified xsi:type="dcterms:W3CDTF">2026-10-01T15:09:00Z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id="yFeoFBRg"/&gt;&lt;style id="http://www.zotero.org/styles/nlm-citation-sequence" locale="fr-FR" hasBibliography="1" bibliographyStyleHasBeenSet="0"/&gt;&lt;prefs&gt;&lt;pref name="fieldType" value="Field"/&gt;&lt;pref na</vt:lpwstr>
  </property>
  <property fmtid="{D5CDD505-2E9C-101B-9397-08002B2CF9AE}" pid="3" name="ZOTERO_PREF_2">
    <vt:lpwstr>me="automaticJournalAbbreviations" value="true"/&gt;&lt;/prefs&gt;&lt;/data&gt;</vt:lpwstr>
  </property>
</Properties>
</file>